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C2F" w:rsidRPr="004A099B" w:rsidRDefault="00146C2F" w:rsidP="004A099B">
      <w:pPr>
        <w:ind w:firstLine="426"/>
        <w:jc w:val="center"/>
        <w:rPr>
          <w:b/>
          <w:sz w:val="24"/>
          <w:szCs w:val="24"/>
        </w:rPr>
      </w:pPr>
      <w:bookmarkStart w:id="0" w:name="_GoBack"/>
      <w:bookmarkEnd w:id="0"/>
      <w:r w:rsidRPr="004A099B">
        <w:rPr>
          <w:b/>
          <w:sz w:val="24"/>
          <w:szCs w:val="24"/>
        </w:rPr>
        <w:t xml:space="preserve">RAPORT Z </w:t>
      </w:r>
      <w:r w:rsidR="00D93ED2" w:rsidRPr="004A099B">
        <w:rPr>
          <w:b/>
          <w:sz w:val="24"/>
          <w:szCs w:val="24"/>
        </w:rPr>
        <w:t xml:space="preserve">OPINIOWANIA I </w:t>
      </w:r>
      <w:r w:rsidRPr="004A099B">
        <w:rPr>
          <w:b/>
          <w:sz w:val="24"/>
          <w:szCs w:val="24"/>
        </w:rPr>
        <w:t>KONSULTACJI PUBLICZNYCH</w:t>
      </w:r>
    </w:p>
    <w:p w:rsidR="00AC680D" w:rsidRPr="004A099B" w:rsidRDefault="00146C2F" w:rsidP="004A099B">
      <w:pPr>
        <w:ind w:firstLine="426"/>
        <w:jc w:val="center"/>
        <w:rPr>
          <w:b/>
          <w:sz w:val="24"/>
          <w:szCs w:val="24"/>
        </w:rPr>
      </w:pPr>
      <w:r w:rsidRPr="004A099B">
        <w:rPr>
          <w:b/>
          <w:sz w:val="24"/>
          <w:szCs w:val="24"/>
        </w:rPr>
        <w:t xml:space="preserve">PROJEKTU </w:t>
      </w:r>
      <w:r w:rsidR="00B85BDF" w:rsidRPr="004A099B">
        <w:rPr>
          <w:b/>
          <w:sz w:val="24"/>
          <w:szCs w:val="24"/>
        </w:rPr>
        <w:t xml:space="preserve">ROZPORZĄDZENIA </w:t>
      </w:r>
      <w:r w:rsidR="00F963E2" w:rsidRPr="004A099B">
        <w:rPr>
          <w:b/>
          <w:sz w:val="24"/>
          <w:szCs w:val="24"/>
        </w:rPr>
        <w:t>MINISTR</w:t>
      </w:r>
      <w:r w:rsidR="009C27F8" w:rsidRPr="004A099B">
        <w:rPr>
          <w:b/>
          <w:sz w:val="24"/>
          <w:szCs w:val="24"/>
        </w:rPr>
        <w:t>A FINANSÓW</w:t>
      </w:r>
      <w:r w:rsidR="00F963E2" w:rsidRPr="004A099B">
        <w:rPr>
          <w:b/>
          <w:sz w:val="24"/>
          <w:szCs w:val="24"/>
        </w:rPr>
        <w:t xml:space="preserve"> </w:t>
      </w:r>
    </w:p>
    <w:p w:rsidR="00EA3559" w:rsidRPr="004A099B" w:rsidRDefault="003C7FFA" w:rsidP="004A099B">
      <w:pPr>
        <w:ind w:firstLine="426"/>
        <w:jc w:val="center"/>
        <w:rPr>
          <w:b/>
          <w:sz w:val="24"/>
          <w:szCs w:val="24"/>
        </w:rPr>
      </w:pPr>
      <w:r w:rsidRPr="004A099B">
        <w:rPr>
          <w:b/>
          <w:sz w:val="24"/>
          <w:szCs w:val="24"/>
        </w:rPr>
        <w:t xml:space="preserve">W SPRAWIE </w:t>
      </w:r>
    </w:p>
    <w:p w:rsidR="00146C2F" w:rsidRPr="004A099B" w:rsidRDefault="00EA3559" w:rsidP="004A099B">
      <w:pPr>
        <w:ind w:firstLine="426"/>
        <w:jc w:val="center"/>
        <w:rPr>
          <w:b/>
          <w:sz w:val="24"/>
          <w:szCs w:val="24"/>
        </w:rPr>
      </w:pPr>
      <w:r w:rsidRPr="004A099B">
        <w:rPr>
          <w:b/>
          <w:sz w:val="24"/>
          <w:szCs w:val="24"/>
        </w:rPr>
        <w:t>PRZEKAZYWANIA TYTUŁÓW WYKONAWCZYCH I INNYCH DOKUMENTÓW DO ORGANU EGEKUCYJNEGO</w:t>
      </w:r>
      <w:r w:rsidR="001023C0">
        <w:rPr>
          <w:b/>
          <w:sz w:val="24"/>
          <w:szCs w:val="24"/>
        </w:rPr>
        <w:t xml:space="preserve"> </w:t>
      </w:r>
    </w:p>
    <w:p w:rsidR="004A099B" w:rsidRPr="004A099B" w:rsidRDefault="004A099B" w:rsidP="004A099B">
      <w:pPr>
        <w:ind w:firstLine="426"/>
        <w:jc w:val="center"/>
        <w:rPr>
          <w:b/>
          <w:sz w:val="24"/>
          <w:szCs w:val="24"/>
        </w:rPr>
      </w:pPr>
    </w:p>
    <w:p w:rsidR="00146C2F" w:rsidRPr="004A099B" w:rsidRDefault="00146C2F" w:rsidP="004A099B">
      <w:pPr>
        <w:ind w:firstLine="426"/>
        <w:jc w:val="both"/>
        <w:rPr>
          <w:sz w:val="24"/>
          <w:szCs w:val="24"/>
        </w:rPr>
      </w:pPr>
    </w:p>
    <w:p w:rsidR="0082183B" w:rsidRPr="004A099B" w:rsidRDefault="00146C2F" w:rsidP="004A099B">
      <w:pPr>
        <w:pStyle w:val="Akapitzlist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099B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art. 5 ustawy z dnia 7 lipca 2005 r. o działalności lobbingowej w procesie stanowienia prawa (Dz. U. </w:t>
      </w:r>
      <w:r w:rsidR="00FB1A01" w:rsidRPr="004A099B">
        <w:rPr>
          <w:rFonts w:ascii="Times New Roman" w:eastAsia="Times New Roman" w:hAnsi="Times New Roman"/>
          <w:sz w:val="24"/>
          <w:szCs w:val="24"/>
          <w:lang w:eastAsia="pl-PL"/>
        </w:rPr>
        <w:t xml:space="preserve">z 2017 r. </w:t>
      </w:r>
      <w:r w:rsidRPr="004A099B">
        <w:rPr>
          <w:rFonts w:ascii="Times New Roman" w:eastAsia="Times New Roman" w:hAnsi="Times New Roman"/>
          <w:sz w:val="24"/>
          <w:szCs w:val="24"/>
          <w:lang w:eastAsia="pl-PL"/>
        </w:rPr>
        <w:t xml:space="preserve">poz. </w:t>
      </w:r>
      <w:r w:rsidR="00FB1A01" w:rsidRPr="004A099B">
        <w:rPr>
          <w:rFonts w:ascii="Times New Roman" w:eastAsia="Times New Roman" w:hAnsi="Times New Roman"/>
          <w:sz w:val="24"/>
          <w:szCs w:val="24"/>
          <w:lang w:eastAsia="pl-PL"/>
        </w:rPr>
        <w:t>248</w:t>
      </w:r>
      <w:r w:rsidR="00662798" w:rsidRPr="004A099B">
        <w:rPr>
          <w:rFonts w:ascii="Times New Roman" w:eastAsia="Times New Roman" w:hAnsi="Times New Roman"/>
          <w:sz w:val="24"/>
          <w:szCs w:val="24"/>
          <w:lang w:eastAsia="pl-PL"/>
        </w:rPr>
        <w:t xml:space="preserve">) </w:t>
      </w:r>
      <w:r w:rsidR="00662798" w:rsidRPr="004A099B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projekt </w:t>
      </w:r>
      <w:r w:rsidR="00EB4870" w:rsidRPr="004A099B">
        <w:rPr>
          <w:rFonts w:ascii="Times New Roman" w:eastAsia="Times New Roman" w:hAnsi="Times New Roman"/>
          <w:i/>
          <w:sz w:val="24"/>
          <w:szCs w:val="24"/>
          <w:lang w:eastAsia="pl-PL"/>
        </w:rPr>
        <w:t>roz</w:t>
      </w:r>
      <w:r w:rsidR="00EA3559" w:rsidRPr="004A099B">
        <w:rPr>
          <w:rFonts w:ascii="Times New Roman" w:eastAsia="Times New Roman" w:hAnsi="Times New Roman"/>
          <w:i/>
          <w:sz w:val="24"/>
          <w:szCs w:val="24"/>
          <w:lang w:eastAsia="pl-PL"/>
        </w:rPr>
        <w:t>porządzenia Ministra Finansów w </w:t>
      </w:r>
      <w:r w:rsidR="00EB4870" w:rsidRPr="004A099B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sprawie </w:t>
      </w:r>
      <w:r w:rsidR="00EA3559" w:rsidRPr="004A099B">
        <w:rPr>
          <w:rFonts w:ascii="Times New Roman" w:eastAsia="Times New Roman" w:hAnsi="Times New Roman"/>
          <w:i/>
          <w:sz w:val="24"/>
          <w:szCs w:val="24"/>
          <w:lang w:eastAsia="pl-PL"/>
        </w:rPr>
        <w:t>przekazywania tytułów wykonawczych i innych dokumentów do organu egzekucyjnego</w:t>
      </w:r>
      <w:r w:rsidR="00F96486" w:rsidRPr="004A099B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="00444C50" w:rsidRPr="004A099B">
        <w:rPr>
          <w:rFonts w:ascii="Times New Roman" w:eastAsia="Times New Roman" w:hAnsi="Times New Roman"/>
          <w:sz w:val="24"/>
          <w:szCs w:val="24"/>
          <w:lang w:eastAsia="pl-PL"/>
        </w:rPr>
        <w:t>został udostępniony</w:t>
      </w:r>
      <w:r w:rsidR="00D93ED2" w:rsidRPr="004A099B">
        <w:rPr>
          <w:rFonts w:ascii="Times New Roman" w:eastAsia="Times New Roman" w:hAnsi="Times New Roman"/>
          <w:sz w:val="24"/>
          <w:szCs w:val="24"/>
          <w:lang w:eastAsia="pl-PL"/>
        </w:rPr>
        <w:t xml:space="preserve"> w</w:t>
      </w:r>
      <w:r w:rsidR="00662798" w:rsidRPr="004A099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A099B">
        <w:rPr>
          <w:rFonts w:ascii="Times New Roman" w:eastAsia="Times New Roman" w:hAnsi="Times New Roman"/>
          <w:sz w:val="24"/>
          <w:szCs w:val="24"/>
          <w:lang w:eastAsia="pl-PL"/>
        </w:rPr>
        <w:t xml:space="preserve">Biuletynie Informacji Publicznej na stronach internetowych Rządowego Centrum Legislacji. </w:t>
      </w:r>
    </w:p>
    <w:p w:rsidR="006158B3" w:rsidRPr="004A099B" w:rsidRDefault="006158B3" w:rsidP="004A099B">
      <w:pPr>
        <w:jc w:val="both"/>
        <w:rPr>
          <w:i/>
          <w:sz w:val="24"/>
          <w:szCs w:val="24"/>
        </w:rPr>
      </w:pPr>
    </w:p>
    <w:p w:rsidR="001B7F5C" w:rsidRPr="004A099B" w:rsidRDefault="006A6E32" w:rsidP="004A099B">
      <w:pPr>
        <w:ind w:firstLine="426"/>
        <w:jc w:val="both"/>
        <w:rPr>
          <w:sz w:val="24"/>
          <w:szCs w:val="24"/>
        </w:rPr>
      </w:pPr>
      <w:r w:rsidRPr="004A099B">
        <w:rPr>
          <w:sz w:val="24"/>
          <w:szCs w:val="24"/>
        </w:rPr>
        <w:t xml:space="preserve">Pismem z dnia </w:t>
      </w:r>
      <w:r w:rsidR="00EA3559" w:rsidRPr="004A099B">
        <w:rPr>
          <w:sz w:val="24"/>
          <w:szCs w:val="24"/>
        </w:rPr>
        <w:t>25 lutego</w:t>
      </w:r>
      <w:r w:rsidR="00F96486" w:rsidRPr="004A099B">
        <w:rPr>
          <w:sz w:val="24"/>
          <w:szCs w:val="24"/>
        </w:rPr>
        <w:t xml:space="preserve"> </w:t>
      </w:r>
      <w:r w:rsidR="00EA3559" w:rsidRPr="004A099B">
        <w:rPr>
          <w:sz w:val="24"/>
          <w:szCs w:val="24"/>
        </w:rPr>
        <w:t>2020</w:t>
      </w:r>
      <w:r w:rsidRPr="004A099B">
        <w:rPr>
          <w:sz w:val="24"/>
          <w:szCs w:val="24"/>
        </w:rPr>
        <w:t xml:space="preserve"> r. znak SP6.850.</w:t>
      </w:r>
      <w:r w:rsidR="00EA3559" w:rsidRPr="004A099B">
        <w:rPr>
          <w:sz w:val="24"/>
          <w:szCs w:val="24"/>
        </w:rPr>
        <w:t>2</w:t>
      </w:r>
      <w:r w:rsidRPr="004A099B">
        <w:rPr>
          <w:sz w:val="24"/>
          <w:szCs w:val="24"/>
        </w:rPr>
        <w:t>.</w:t>
      </w:r>
      <w:r w:rsidR="00F96486" w:rsidRPr="004A099B">
        <w:rPr>
          <w:sz w:val="24"/>
          <w:szCs w:val="24"/>
        </w:rPr>
        <w:t>2019</w:t>
      </w:r>
      <w:r w:rsidRPr="004A099B">
        <w:rPr>
          <w:sz w:val="24"/>
          <w:szCs w:val="24"/>
        </w:rPr>
        <w:t xml:space="preserve"> </w:t>
      </w:r>
      <w:r w:rsidRPr="004A099B">
        <w:rPr>
          <w:i/>
          <w:sz w:val="24"/>
          <w:szCs w:val="24"/>
        </w:rPr>
        <w:t>p</w:t>
      </w:r>
      <w:r w:rsidR="006158B3" w:rsidRPr="004A099B">
        <w:rPr>
          <w:i/>
          <w:sz w:val="24"/>
          <w:szCs w:val="24"/>
        </w:rPr>
        <w:t xml:space="preserve">rojekt rozporządzenia Ministra Finansów </w:t>
      </w:r>
      <w:r w:rsidR="00EA3559" w:rsidRPr="004A099B">
        <w:rPr>
          <w:i/>
          <w:sz w:val="24"/>
          <w:szCs w:val="24"/>
        </w:rPr>
        <w:t>w sprawie przekazywania tytułów wykonawczych i innych dokumentów do organu egzekucyjnego</w:t>
      </w:r>
      <w:r w:rsidR="00EB67B7" w:rsidRPr="004A099B">
        <w:rPr>
          <w:sz w:val="24"/>
          <w:szCs w:val="24"/>
        </w:rPr>
        <w:t xml:space="preserve">, </w:t>
      </w:r>
      <w:r w:rsidR="00D93ED2" w:rsidRPr="004A099B">
        <w:rPr>
          <w:sz w:val="24"/>
          <w:szCs w:val="24"/>
        </w:rPr>
        <w:t>wydawan</w:t>
      </w:r>
      <w:r w:rsidR="00415A17" w:rsidRPr="004A099B">
        <w:rPr>
          <w:sz w:val="24"/>
          <w:szCs w:val="24"/>
        </w:rPr>
        <w:t>y</w:t>
      </w:r>
      <w:r w:rsidR="00D93ED2" w:rsidRPr="004A099B">
        <w:rPr>
          <w:sz w:val="24"/>
          <w:szCs w:val="24"/>
        </w:rPr>
        <w:t xml:space="preserve"> na podstawie art. </w:t>
      </w:r>
      <w:r w:rsidR="00EA3559" w:rsidRPr="004A099B">
        <w:rPr>
          <w:sz w:val="24"/>
          <w:szCs w:val="24"/>
        </w:rPr>
        <w:t>27</w:t>
      </w:r>
      <w:r w:rsidR="006158B3" w:rsidRPr="004A099B">
        <w:rPr>
          <w:sz w:val="24"/>
          <w:szCs w:val="24"/>
        </w:rPr>
        <w:t xml:space="preserve"> § </w:t>
      </w:r>
      <w:r w:rsidR="001B7F5C" w:rsidRPr="004A099B">
        <w:rPr>
          <w:sz w:val="24"/>
          <w:szCs w:val="24"/>
        </w:rPr>
        <w:t>2</w:t>
      </w:r>
      <w:r w:rsidR="00EA3559" w:rsidRPr="004A099B">
        <w:rPr>
          <w:sz w:val="24"/>
          <w:szCs w:val="24"/>
        </w:rPr>
        <w:t>b</w:t>
      </w:r>
      <w:r w:rsidR="00436A94" w:rsidRPr="004A099B">
        <w:rPr>
          <w:sz w:val="24"/>
          <w:szCs w:val="24"/>
        </w:rPr>
        <w:t xml:space="preserve"> </w:t>
      </w:r>
      <w:r w:rsidR="00EB67B7" w:rsidRPr="004A099B">
        <w:rPr>
          <w:sz w:val="24"/>
          <w:szCs w:val="24"/>
        </w:rPr>
        <w:t xml:space="preserve">ustawy </w:t>
      </w:r>
      <w:r w:rsidR="00FB1A01" w:rsidRPr="004A099B">
        <w:rPr>
          <w:sz w:val="24"/>
          <w:szCs w:val="24"/>
        </w:rPr>
        <w:t xml:space="preserve">z </w:t>
      </w:r>
      <w:r w:rsidR="009C27F8" w:rsidRPr="004A099B">
        <w:rPr>
          <w:sz w:val="24"/>
          <w:szCs w:val="24"/>
        </w:rPr>
        <w:t xml:space="preserve">dnia </w:t>
      </w:r>
      <w:r w:rsidR="00436A94" w:rsidRPr="004A099B">
        <w:rPr>
          <w:sz w:val="24"/>
          <w:szCs w:val="24"/>
        </w:rPr>
        <w:t>17 czerwca 1966 r</w:t>
      </w:r>
      <w:r w:rsidR="00EA3559" w:rsidRPr="004A099B">
        <w:rPr>
          <w:sz w:val="24"/>
          <w:szCs w:val="24"/>
        </w:rPr>
        <w:t>. o </w:t>
      </w:r>
      <w:r w:rsidRPr="004A099B">
        <w:rPr>
          <w:sz w:val="24"/>
          <w:szCs w:val="24"/>
        </w:rPr>
        <w:t xml:space="preserve">postępowaniu egzekucyjnym w </w:t>
      </w:r>
      <w:r w:rsidR="00436A94" w:rsidRPr="004A099B">
        <w:rPr>
          <w:sz w:val="24"/>
          <w:szCs w:val="24"/>
        </w:rPr>
        <w:t>administracji</w:t>
      </w:r>
      <w:r w:rsidR="0001134C" w:rsidRPr="004A099B">
        <w:rPr>
          <w:sz w:val="24"/>
          <w:szCs w:val="24"/>
        </w:rPr>
        <w:t xml:space="preserve"> </w:t>
      </w:r>
      <w:r w:rsidR="00EB67B7" w:rsidRPr="004A099B">
        <w:rPr>
          <w:bCs/>
          <w:sz w:val="24"/>
          <w:szCs w:val="24"/>
        </w:rPr>
        <w:t>(</w:t>
      </w:r>
      <w:r w:rsidR="001A0C3F" w:rsidRPr="004A099B">
        <w:rPr>
          <w:bCs/>
          <w:sz w:val="24"/>
          <w:szCs w:val="24"/>
        </w:rPr>
        <w:t>Dz. U. z</w:t>
      </w:r>
      <w:r w:rsidR="00D93ED2" w:rsidRPr="004A099B">
        <w:rPr>
          <w:bCs/>
          <w:sz w:val="24"/>
          <w:szCs w:val="24"/>
        </w:rPr>
        <w:t xml:space="preserve"> </w:t>
      </w:r>
      <w:r w:rsidR="00EB67B7" w:rsidRPr="004A099B">
        <w:rPr>
          <w:bCs/>
          <w:sz w:val="24"/>
          <w:szCs w:val="24"/>
        </w:rPr>
        <w:t>201</w:t>
      </w:r>
      <w:r w:rsidR="001B7F5C" w:rsidRPr="004A099B">
        <w:rPr>
          <w:bCs/>
          <w:sz w:val="24"/>
          <w:szCs w:val="24"/>
        </w:rPr>
        <w:t>9</w:t>
      </w:r>
      <w:r w:rsidR="00EB67B7" w:rsidRPr="004A099B">
        <w:rPr>
          <w:bCs/>
          <w:sz w:val="24"/>
          <w:szCs w:val="24"/>
        </w:rPr>
        <w:t xml:space="preserve"> r. poz. </w:t>
      </w:r>
      <w:r w:rsidR="001B7F5C" w:rsidRPr="004A099B">
        <w:rPr>
          <w:bCs/>
          <w:sz w:val="24"/>
          <w:szCs w:val="24"/>
        </w:rPr>
        <w:t>1438</w:t>
      </w:r>
      <w:r w:rsidR="00337D2D" w:rsidRPr="004A099B">
        <w:rPr>
          <w:bCs/>
          <w:sz w:val="24"/>
          <w:szCs w:val="24"/>
        </w:rPr>
        <w:t>, z</w:t>
      </w:r>
      <w:r w:rsidR="001456DD" w:rsidRPr="004A099B">
        <w:rPr>
          <w:bCs/>
          <w:sz w:val="24"/>
          <w:szCs w:val="24"/>
        </w:rPr>
        <w:t xml:space="preserve"> </w:t>
      </w:r>
      <w:proofErr w:type="spellStart"/>
      <w:r w:rsidR="00EB67B7" w:rsidRPr="004A099B">
        <w:rPr>
          <w:bCs/>
          <w:sz w:val="24"/>
          <w:szCs w:val="24"/>
        </w:rPr>
        <w:t>późn</w:t>
      </w:r>
      <w:proofErr w:type="spellEnd"/>
      <w:r w:rsidR="00EB67B7" w:rsidRPr="004A099B">
        <w:rPr>
          <w:bCs/>
          <w:sz w:val="24"/>
          <w:szCs w:val="24"/>
        </w:rPr>
        <w:t>.</w:t>
      </w:r>
      <w:r w:rsidR="00662798" w:rsidRPr="004A099B">
        <w:rPr>
          <w:bCs/>
          <w:sz w:val="24"/>
          <w:szCs w:val="24"/>
        </w:rPr>
        <w:t xml:space="preserve"> </w:t>
      </w:r>
      <w:r w:rsidR="00EB67B7" w:rsidRPr="004A099B">
        <w:rPr>
          <w:bCs/>
          <w:sz w:val="24"/>
          <w:szCs w:val="24"/>
        </w:rPr>
        <w:t>zm.)</w:t>
      </w:r>
      <w:r w:rsidR="00F0763C" w:rsidRPr="004A099B">
        <w:rPr>
          <w:bCs/>
          <w:sz w:val="24"/>
          <w:szCs w:val="24"/>
        </w:rPr>
        <w:t xml:space="preserve"> dalej </w:t>
      </w:r>
      <w:r w:rsidR="004A099B">
        <w:rPr>
          <w:bCs/>
          <w:sz w:val="24"/>
          <w:szCs w:val="24"/>
        </w:rPr>
        <w:t>„</w:t>
      </w:r>
      <w:proofErr w:type="spellStart"/>
      <w:r w:rsidR="00F0763C" w:rsidRPr="004A099B">
        <w:rPr>
          <w:bCs/>
          <w:sz w:val="24"/>
          <w:szCs w:val="24"/>
        </w:rPr>
        <w:t>upea</w:t>
      </w:r>
      <w:proofErr w:type="spellEnd"/>
      <w:r w:rsidR="004A099B">
        <w:rPr>
          <w:bCs/>
          <w:sz w:val="24"/>
          <w:szCs w:val="24"/>
        </w:rPr>
        <w:t>”</w:t>
      </w:r>
      <w:r w:rsidR="00337D2D" w:rsidRPr="004A099B">
        <w:rPr>
          <w:bCs/>
          <w:sz w:val="24"/>
          <w:szCs w:val="24"/>
        </w:rPr>
        <w:t>,</w:t>
      </w:r>
      <w:r w:rsidR="00415A17" w:rsidRPr="004A099B">
        <w:rPr>
          <w:bCs/>
          <w:sz w:val="24"/>
          <w:szCs w:val="24"/>
        </w:rPr>
        <w:t xml:space="preserve"> </w:t>
      </w:r>
      <w:r w:rsidR="004B6BD6" w:rsidRPr="004A099B">
        <w:rPr>
          <w:sz w:val="24"/>
          <w:szCs w:val="24"/>
        </w:rPr>
        <w:t>skierowano</w:t>
      </w:r>
      <w:r w:rsidR="00FE5AB7" w:rsidRPr="004A099B">
        <w:rPr>
          <w:sz w:val="24"/>
          <w:szCs w:val="24"/>
        </w:rPr>
        <w:t xml:space="preserve"> </w:t>
      </w:r>
      <w:r w:rsidR="000023DB" w:rsidRPr="004A099B">
        <w:rPr>
          <w:sz w:val="24"/>
          <w:szCs w:val="24"/>
        </w:rPr>
        <w:t>do konsultacji</w:t>
      </w:r>
      <w:r w:rsidR="002B3EDB" w:rsidRPr="004A099B">
        <w:rPr>
          <w:sz w:val="24"/>
          <w:szCs w:val="24"/>
        </w:rPr>
        <w:t xml:space="preserve"> </w:t>
      </w:r>
      <w:r w:rsidRPr="004A099B">
        <w:rPr>
          <w:sz w:val="24"/>
          <w:szCs w:val="24"/>
        </w:rPr>
        <w:t xml:space="preserve">publicznych </w:t>
      </w:r>
      <w:r w:rsidR="00415A17" w:rsidRPr="004A099B">
        <w:rPr>
          <w:sz w:val="24"/>
          <w:szCs w:val="24"/>
        </w:rPr>
        <w:t>do</w:t>
      </w:r>
      <w:r w:rsidRPr="004A099B">
        <w:rPr>
          <w:sz w:val="24"/>
          <w:szCs w:val="24"/>
        </w:rPr>
        <w:t>:</w:t>
      </w:r>
      <w:r w:rsidR="001B7F5C" w:rsidRPr="004A099B">
        <w:rPr>
          <w:sz w:val="24"/>
          <w:szCs w:val="24"/>
        </w:rPr>
        <w:t xml:space="preserve"> Poczty Polskiej S.A., Ubezpieczeniowego Funduszu Gwarancyjnego, Unii Metropolii Polskich, Związku Miast Polskich, Związku Województw Rzeczypospolitej Polskiej, Związku Gmin Wiejskich Rzeczypospolitej Polskiej, Zakładu Ubezpieczeń Społecznych oraz Kasy Rolniczego Ubezpieczenia Społecznego. </w:t>
      </w:r>
    </w:p>
    <w:p w:rsidR="002C6E74" w:rsidRPr="004A099B" w:rsidRDefault="00EA3559" w:rsidP="004A099B">
      <w:pPr>
        <w:ind w:firstLine="426"/>
        <w:jc w:val="both"/>
        <w:rPr>
          <w:sz w:val="24"/>
          <w:szCs w:val="24"/>
        </w:rPr>
      </w:pPr>
      <w:r w:rsidRPr="004A099B">
        <w:rPr>
          <w:sz w:val="24"/>
          <w:szCs w:val="24"/>
        </w:rPr>
        <w:t>Ponadto pismami</w:t>
      </w:r>
      <w:r w:rsidR="002578AF" w:rsidRPr="004A099B">
        <w:rPr>
          <w:sz w:val="24"/>
          <w:szCs w:val="24"/>
        </w:rPr>
        <w:t xml:space="preserve"> z dnia </w:t>
      </w:r>
      <w:r w:rsidRPr="004A099B">
        <w:rPr>
          <w:sz w:val="24"/>
          <w:szCs w:val="24"/>
        </w:rPr>
        <w:t>25 lutego 2020 r.</w:t>
      </w:r>
      <w:r w:rsidR="00C46E3A" w:rsidRPr="004A099B">
        <w:rPr>
          <w:sz w:val="24"/>
          <w:szCs w:val="24"/>
        </w:rPr>
        <w:t xml:space="preserve"> </w:t>
      </w:r>
      <w:r w:rsidRPr="004A099B">
        <w:rPr>
          <w:sz w:val="24"/>
          <w:szCs w:val="24"/>
        </w:rPr>
        <w:t>o tym samym znaku</w:t>
      </w:r>
      <w:r w:rsidR="006158B3" w:rsidRPr="004A099B">
        <w:rPr>
          <w:sz w:val="24"/>
          <w:szCs w:val="24"/>
        </w:rPr>
        <w:t xml:space="preserve"> </w:t>
      </w:r>
      <w:r w:rsidR="002578AF" w:rsidRPr="004A099B">
        <w:rPr>
          <w:sz w:val="24"/>
          <w:szCs w:val="24"/>
        </w:rPr>
        <w:t>projekt rozporządze</w:t>
      </w:r>
      <w:r w:rsidR="0041089F" w:rsidRPr="004A099B">
        <w:rPr>
          <w:sz w:val="24"/>
          <w:szCs w:val="24"/>
        </w:rPr>
        <w:t>nia został skierowany do opinii</w:t>
      </w:r>
      <w:r w:rsidR="002578AF" w:rsidRPr="004A099B">
        <w:rPr>
          <w:sz w:val="24"/>
          <w:szCs w:val="24"/>
        </w:rPr>
        <w:t xml:space="preserve"> </w:t>
      </w:r>
      <w:r w:rsidR="004A099B">
        <w:rPr>
          <w:sz w:val="24"/>
          <w:szCs w:val="24"/>
        </w:rPr>
        <w:t>Urzędu Ochrony Danych Osobowych</w:t>
      </w:r>
      <w:r w:rsidRPr="004A099B">
        <w:rPr>
          <w:sz w:val="24"/>
          <w:szCs w:val="24"/>
        </w:rPr>
        <w:t xml:space="preserve"> oraz Komisji Wspólnej Rządu i Samorządu Terytorialnego</w:t>
      </w:r>
      <w:r w:rsidR="006158B3" w:rsidRPr="004A099B">
        <w:rPr>
          <w:sz w:val="24"/>
          <w:szCs w:val="24"/>
        </w:rPr>
        <w:t xml:space="preserve"> </w:t>
      </w:r>
    </w:p>
    <w:p w:rsidR="00C46E3A" w:rsidRPr="004A099B" w:rsidRDefault="00C46E3A" w:rsidP="004A099B">
      <w:pPr>
        <w:jc w:val="both"/>
        <w:rPr>
          <w:rFonts w:eastAsiaTheme="minorHAnsi"/>
          <w:sz w:val="24"/>
          <w:szCs w:val="24"/>
          <w:lang w:eastAsia="en-US"/>
        </w:rPr>
      </w:pPr>
    </w:p>
    <w:p w:rsidR="00B94B87" w:rsidRPr="004A099B" w:rsidRDefault="00806710" w:rsidP="004A099B">
      <w:pPr>
        <w:jc w:val="both"/>
        <w:rPr>
          <w:sz w:val="24"/>
          <w:szCs w:val="24"/>
        </w:rPr>
      </w:pPr>
      <w:r w:rsidRPr="004A099B">
        <w:rPr>
          <w:sz w:val="24"/>
          <w:szCs w:val="24"/>
        </w:rPr>
        <w:t>Do projek</w:t>
      </w:r>
      <w:r w:rsidR="00F8290F" w:rsidRPr="004A099B">
        <w:rPr>
          <w:sz w:val="24"/>
          <w:szCs w:val="24"/>
        </w:rPr>
        <w:t>tu rozporządzenia uwagi zgłosiły</w:t>
      </w:r>
      <w:r w:rsidR="00B94B87" w:rsidRPr="004A099B">
        <w:rPr>
          <w:sz w:val="24"/>
          <w:szCs w:val="24"/>
        </w:rPr>
        <w:t>:</w:t>
      </w:r>
      <w:r w:rsidR="001B7F5C" w:rsidRPr="004A099B">
        <w:rPr>
          <w:sz w:val="24"/>
          <w:szCs w:val="24"/>
        </w:rPr>
        <w:t xml:space="preserve"> </w:t>
      </w:r>
      <w:r w:rsidR="00EA3559" w:rsidRPr="004A099B">
        <w:rPr>
          <w:sz w:val="24"/>
          <w:szCs w:val="24"/>
        </w:rPr>
        <w:t>ZUS i KRUS</w:t>
      </w:r>
      <w:r w:rsidR="001B7F5C" w:rsidRPr="004A099B">
        <w:rPr>
          <w:sz w:val="24"/>
          <w:szCs w:val="24"/>
        </w:rPr>
        <w:t>.</w:t>
      </w:r>
    </w:p>
    <w:p w:rsidR="00E86110" w:rsidRPr="004A099B" w:rsidRDefault="00E86110" w:rsidP="004A099B">
      <w:pPr>
        <w:ind w:firstLine="426"/>
        <w:jc w:val="both"/>
        <w:rPr>
          <w:sz w:val="24"/>
          <w:szCs w:val="24"/>
        </w:rPr>
      </w:pPr>
    </w:p>
    <w:p w:rsidR="00F0763C" w:rsidRPr="004A099B" w:rsidRDefault="00654737" w:rsidP="004A099B">
      <w:pPr>
        <w:jc w:val="both"/>
        <w:rPr>
          <w:sz w:val="24"/>
          <w:szCs w:val="24"/>
        </w:rPr>
      </w:pPr>
      <w:r w:rsidRPr="004A099B">
        <w:rPr>
          <w:sz w:val="24"/>
          <w:szCs w:val="24"/>
        </w:rPr>
        <w:t>ZUS</w:t>
      </w:r>
      <w:r w:rsidR="00213690" w:rsidRPr="004A099B">
        <w:rPr>
          <w:sz w:val="24"/>
          <w:szCs w:val="24"/>
        </w:rPr>
        <w:t xml:space="preserve"> zgłosił do projektu uwagi redakcyjne, które zostały uwzględnione oraz</w:t>
      </w:r>
      <w:r w:rsidR="00F0763C" w:rsidRPr="004A099B">
        <w:rPr>
          <w:sz w:val="24"/>
          <w:szCs w:val="24"/>
        </w:rPr>
        <w:t>:</w:t>
      </w:r>
    </w:p>
    <w:p w:rsidR="00F0763C" w:rsidRPr="004A099B" w:rsidRDefault="00F0763C" w:rsidP="004A099B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bCs/>
          <w:sz w:val="24"/>
          <w:szCs w:val="24"/>
        </w:rPr>
        <w:t xml:space="preserve">Zakwestionował tryb uwierzytelniania się wierzyciela w systemie teleinformatycznym określonym w art. 26aa </w:t>
      </w:r>
      <w:proofErr w:type="spellStart"/>
      <w:r w:rsidRPr="004A099B">
        <w:rPr>
          <w:rFonts w:ascii="Times New Roman" w:hAnsi="Times New Roman"/>
          <w:bCs/>
          <w:sz w:val="24"/>
          <w:szCs w:val="24"/>
        </w:rPr>
        <w:t>upea</w:t>
      </w:r>
      <w:proofErr w:type="spellEnd"/>
      <w:r w:rsidRPr="004A099B">
        <w:rPr>
          <w:rFonts w:ascii="Times New Roman" w:hAnsi="Times New Roman"/>
          <w:bCs/>
          <w:sz w:val="24"/>
          <w:szCs w:val="24"/>
        </w:rPr>
        <w:t xml:space="preserve"> za pośrednictwem profilu zaufanego.</w:t>
      </w:r>
    </w:p>
    <w:p w:rsidR="00F0763C" w:rsidRPr="004A099B" w:rsidRDefault="00F0763C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bCs/>
          <w:sz w:val="24"/>
          <w:szCs w:val="24"/>
        </w:rPr>
        <w:t xml:space="preserve">Uwaga </w:t>
      </w:r>
      <w:r w:rsidR="00BA7F84">
        <w:rPr>
          <w:rFonts w:ascii="Times New Roman" w:hAnsi="Times New Roman"/>
          <w:bCs/>
          <w:sz w:val="24"/>
          <w:szCs w:val="24"/>
        </w:rPr>
        <w:t>uwzględniona</w:t>
      </w:r>
    </w:p>
    <w:p w:rsidR="00F0763C" w:rsidRPr="004A099B" w:rsidRDefault="00BA7F84" w:rsidP="004A099B">
      <w:pPr>
        <w:ind w:left="426"/>
        <w:jc w:val="both"/>
        <w:rPr>
          <w:bCs/>
          <w:sz w:val="24"/>
          <w:szCs w:val="24"/>
        </w:rPr>
      </w:pPr>
      <w:r w:rsidRPr="00BA7F84">
        <w:rPr>
          <w:bCs/>
          <w:sz w:val="24"/>
          <w:szCs w:val="24"/>
        </w:rPr>
        <w:t xml:space="preserve">Zakres metod uwierzytelnienia w projekcie rozporządzenia został znacznie rozszerzony i odpowiada przepisom </w:t>
      </w:r>
      <w:r>
        <w:rPr>
          <w:bCs/>
          <w:sz w:val="24"/>
          <w:szCs w:val="24"/>
        </w:rPr>
        <w:t>ustawy</w:t>
      </w:r>
      <w:r w:rsidRPr="00BA7F84">
        <w:rPr>
          <w:bCs/>
          <w:sz w:val="24"/>
          <w:szCs w:val="24"/>
        </w:rPr>
        <w:t xml:space="preserve"> z dnia 5 września 2016 r. o</w:t>
      </w:r>
      <w:r>
        <w:rPr>
          <w:bCs/>
          <w:sz w:val="24"/>
          <w:szCs w:val="24"/>
        </w:rPr>
        <w:t xml:space="preserve"> </w:t>
      </w:r>
      <w:r w:rsidRPr="00BA7F84">
        <w:rPr>
          <w:bCs/>
          <w:sz w:val="24"/>
          <w:szCs w:val="24"/>
        </w:rPr>
        <w:t xml:space="preserve">usługach zaufania oraz identyfikacji elektronicznej (Dz.U. z 2019 r. poz. 162, z </w:t>
      </w:r>
      <w:proofErr w:type="spellStart"/>
      <w:r w:rsidRPr="00BA7F84">
        <w:rPr>
          <w:bCs/>
          <w:sz w:val="24"/>
          <w:szCs w:val="24"/>
        </w:rPr>
        <w:t>późn</w:t>
      </w:r>
      <w:proofErr w:type="spellEnd"/>
      <w:r w:rsidRPr="00BA7F84">
        <w:rPr>
          <w:bCs/>
          <w:sz w:val="24"/>
          <w:szCs w:val="24"/>
        </w:rPr>
        <w:t>. zm.), bez wskazania szczególnych reguł w tym zakresie</w:t>
      </w:r>
      <w:r w:rsidR="004A099B" w:rsidRPr="00BA7F84">
        <w:rPr>
          <w:bCs/>
          <w:sz w:val="24"/>
          <w:szCs w:val="24"/>
        </w:rPr>
        <w:t xml:space="preserve">. </w:t>
      </w:r>
      <w:r w:rsidR="00F0763C" w:rsidRPr="004A099B">
        <w:rPr>
          <w:bCs/>
          <w:sz w:val="24"/>
          <w:szCs w:val="24"/>
        </w:rPr>
        <w:t xml:space="preserve">Kwestionowany tryb uwierzytelniania się wierzyciela będzie dotyczył co do zasady tzw. „małych wierzycieli”, którzy nie posiadają własnych systemów informatycznych. </w:t>
      </w:r>
      <w:r w:rsidR="004A099B">
        <w:rPr>
          <w:bCs/>
          <w:sz w:val="24"/>
          <w:szCs w:val="24"/>
        </w:rPr>
        <w:t>Z</w:t>
      </w:r>
      <w:r w:rsidR="00F0763C" w:rsidRPr="004A099B">
        <w:rPr>
          <w:bCs/>
          <w:sz w:val="24"/>
          <w:szCs w:val="24"/>
        </w:rPr>
        <w:t>godnie z przyjętymi w projekcie założ</w:t>
      </w:r>
      <w:r w:rsidR="004A099B">
        <w:rPr>
          <w:bCs/>
          <w:sz w:val="24"/>
          <w:szCs w:val="24"/>
        </w:rPr>
        <w:t>eniami ZUS</w:t>
      </w:r>
      <w:r w:rsidR="00A66F62">
        <w:rPr>
          <w:bCs/>
          <w:sz w:val="24"/>
          <w:szCs w:val="24"/>
        </w:rPr>
        <w:t xml:space="preserve"> i inni „duzi wierzyciele”</w:t>
      </w:r>
      <w:r w:rsidR="004A099B">
        <w:rPr>
          <w:bCs/>
          <w:sz w:val="24"/>
          <w:szCs w:val="24"/>
        </w:rPr>
        <w:t xml:space="preserve"> </w:t>
      </w:r>
      <w:r w:rsidR="00A66F62">
        <w:rPr>
          <w:bCs/>
          <w:sz w:val="24"/>
          <w:szCs w:val="24"/>
        </w:rPr>
        <w:t>powinni</w:t>
      </w:r>
      <w:r w:rsidR="004A099B">
        <w:rPr>
          <w:bCs/>
          <w:sz w:val="24"/>
          <w:szCs w:val="24"/>
        </w:rPr>
        <w:t xml:space="preserve"> korzystać z </w:t>
      </w:r>
      <w:r w:rsidR="00F0763C" w:rsidRPr="004A099B">
        <w:rPr>
          <w:bCs/>
          <w:sz w:val="24"/>
          <w:szCs w:val="24"/>
        </w:rPr>
        <w:t>udostępnionego API (</w:t>
      </w:r>
      <w:proofErr w:type="spellStart"/>
      <w:r w:rsidR="00F0763C" w:rsidRPr="004A099B">
        <w:rPr>
          <w:bCs/>
          <w:sz w:val="24"/>
          <w:szCs w:val="24"/>
        </w:rPr>
        <w:t>application</w:t>
      </w:r>
      <w:proofErr w:type="spellEnd"/>
      <w:r w:rsidR="00F0763C" w:rsidRPr="004A099B">
        <w:rPr>
          <w:bCs/>
          <w:sz w:val="24"/>
          <w:szCs w:val="24"/>
        </w:rPr>
        <w:t xml:space="preserve"> </w:t>
      </w:r>
      <w:proofErr w:type="spellStart"/>
      <w:r w:rsidR="00F0763C" w:rsidRPr="004A099B">
        <w:rPr>
          <w:bCs/>
          <w:sz w:val="24"/>
          <w:szCs w:val="24"/>
        </w:rPr>
        <w:t>programming</w:t>
      </w:r>
      <w:proofErr w:type="spellEnd"/>
      <w:r w:rsidR="00F0763C" w:rsidRPr="004A099B">
        <w:rPr>
          <w:bCs/>
          <w:sz w:val="24"/>
          <w:szCs w:val="24"/>
        </w:rPr>
        <w:t xml:space="preserve"> </w:t>
      </w:r>
      <w:proofErr w:type="spellStart"/>
      <w:r w:rsidR="00F0763C" w:rsidRPr="004A099B">
        <w:rPr>
          <w:bCs/>
          <w:sz w:val="24"/>
          <w:szCs w:val="24"/>
        </w:rPr>
        <w:t>interface</w:t>
      </w:r>
      <w:proofErr w:type="spellEnd"/>
      <w:r w:rsidR="00F0763C" w:rsidRPr="004A099B">
        <w:rPr>
          <w:bCs/>
          <w:sz w:val="24"/>
          <w:szCs w:val="24"/>
        </w:rPr>
        <w:t>) umożliwiającego realizację przyjmowania elektro</w:t>
      </w:r>
      <w:r w:rsidR="00A66F62">
        <w:rPr>
          <w:bCs/>
          <w:sz w:val="24"/>
          <w:szCs w:val="24"/>
        </w:rPr>
        <w:t xml:space="preserve">nicznych tytułów wykonawczych z </w:t>
      </w:r>
      <w:r w:rsidR="00F0763C" w:rsidRPr="004A099B">
        <w:rPr>
          <w:bCs/>
          <w:sz w:val="24"/>
          <w:szCs w:val="24"/>
        </w:rPr>
        <w:t xml:space="preserve">systemów zewnętrznych w określonym formacie. </w:t>
      </w:r>
      <w:r w:rsidR="00213690" w:rsidRPr="004A099B">
        <w:rPr>
          <w:bCs/>
          <w:sz w:val="24"/>
          <w:szCs w:val="24"/>
        </w:rPr>
        <w:t>Zaproponowany</w:t>
      </w:r>
      <w:r w:rsidR="00F0763C" w:rsidRPr="004A099B">
        <w:rPr>
          <w:bCs/>
          <w:sz w:val="24"/>
          <w:szCs w:val="24"/>
        </w:rPr>
        <w:t xml:space="preserve"> sposób autoryzacji zapewni bezpieczeństwo korzystania </w:t>
      </w:r>
      <w:r w:rsidR="004A099B">
        <w:rPr>
          <w:bCs/>
          <w:sz w:val="24"/>
          <w:szCs w:val="24"/>
        </w:rPr>
        <w:t>z</w:t>
      </w:r>
      <w:r w:rsidR="00A66F62">
        <w:rPr>
          <w:bCs/>
          <w:sz w:val="24"/>
          <w:szCs w:val="24"/>
        </w:rPr>
        <w:t xml:space="preserve"> </w:t>
      </w:r>
      <w:r w:rsidR="00F0763C" w:rsidRPr="004A099B">
        <w:rPr>
          <w:bCs/>
          <w:sz w:val="24"/>
          <w:szCs w:val="24"/>
        </w:rPr>
        <w:t xml:space="preserve">systemu i jego zabezpieczenie przed dostępem osób nieuprawnionych, co zagwarantuje, że żaden nieuprawniony podmiot nie wniesie tytułu wykonawczego do organu egzekucyjnego za pośrednictwem tego systemu. </w:t>
      </w:r>
    </w:p>
    <w:p w:rsidR="00213690" w:rsidRPr="004A099B" w:rsidRDefault="00213690" w:rsidP="004A099B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bCs/>
          <w:sz w:val="24"/>
          <w:szCs w:val="24"/>
        </w:rPr>
        <w:t xml:space="preserve">Podniósł konieczność wskazania w projekcie sposobu przekazywania tytułów wykonawczych do naczelnika urzędu skarbowego przez wierzycieli innych niż naczelnicy urzędu skarbowych. </w:t>
      </w:r>
    </w:p>
    <w:p w:rsidR="00213690" w:rsidRPr="004A099B" w:rsidRDefault="00213690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bCs/>
          <w:sz w:val="24"/>
          <w:szCs w:val="24"/>
        </w:rPr>
        <w:t>Uwaga wyjaśniona</w:t>
      </w:r>
    </w:p>
    <w:p w:rsidR="00213690" w:rsidRPr="004A099B" w:rsidRDefault="00213690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bCs/>
          <w:sz w:val="24"/>
          <w:szCs w:val="24"/>
        </w:rPr>
        <w:t>P</w:t>
      </w:r>
      <w:r w:rsidR="00F0763C" w:rsidRPr="004A099B">
        <w:rPr>
          <w:rFonts w:ascii="Times New Roman" w:hAnsi="Times New Roman"/>
          <w:bCs/>
          <w:sz w:val="24"/>
          <w:szCs w:val="24"/>
        </w:rPr>
        <w:t>rojekt rozporządzenia przewiduje przekazywanie tytułów wykonawczych i innych dokumentów do naczelnika urzędu skarbowego za pośr</w:t>
      </w:r>
      <w:r w:rsidR="000970DA">
        <w:rPr>
          <w:rFonts w:ascii="Times New Roman" w:hAnsi="Times New Roman"/>
          <w:bCs/>
          <w:sz w:val="24"/>
          <w:szCs w:val="24"/>
        </w:rPr>
        <w:t xml:space="preserve">ednictwem systemu określonego </w:t>
      </w:r>
      <w:r w:rsidR="000970DA">
        <w:rPr>
          <w:rFonts w:ascii="Times New Roman" w:hAnsi="Times New Roman"/>
          <w:bCs/>
          <w:sz w:val="24"/>
          <w:szCs w:val="24"/>
        </w:rPr>
        <w:lastRenderedPageBreak/>
        <w:t>w </w:t>
      </w:r>
      <w:r w:rsidR="00F0763C" w:rsidRPr="004A099B">
        <w:rPr>
          <w:rFonts w:ascii="Times New Roman" w:hAnsi="Times New Roman"/>
          <w:bCs/>
          <w:sz w:val="24"/>
          <w:szCs w:val="24"/>
        </w:rPr>
        <w:t xml:space="preserve">art. 26aa </w:t>
      </w:r>
      <w:proofErr w:type="spellStart"/>
      <w:r w:rsidR="00F0763C" w:rsidRPr="004A099B">
        <w:rPr>
          <w:rFonts w:ascii="Times New Roman" w:hAnsi="Times New Roman"/>
          <w:bCs/>
          <w:sz w:val="24"/>
          <w:szCs w:val="24"/>
        </w:rPr>
        <w:t>upea</w:t>
      </w:r>
      <w:proofErr w:type="spellEnd"/>
      <w:r w:rsidR="00F0763C" w:rsidRPr="004A099B">
        <w:rPr>
          <w:rFonts w:ascii="Times New Roman" w:hAnsi="Times New Roman"/>
          <w:bCs/>
          <w:sz w:val="24"/>
          <w:szCs w:val="24"/>
        </w:rPr>
        <w:t>. Ponadto § 4 projektu uzupełniono o przepis umożliwiający przekazywanie tytułów wykonawczych i innych dokumentów do naczelnika urzędu skarbowego również za pośrednictwem elektroniczn</w:t>
      </w:r>
      <w:r w:rsidR="000970DA">
        <w:rPr>
          <w:rFonts w:ascii="Times New Roman" w:hAnsi="Times New Roman"/>
          <w:bCs/>
          <w:sz w:val="24"/>
          <w:szCs w:val="24"/>
        </w:rPr>
        <w:t>ej skrzynki podawczej, jeżeli z </w:t>
      </w:r>
      <w:r w:rsidR="00F0763C" w:rsidRPr="004A099B">
        <w:rPr>
          <w:rFonts w:ascii="Times New Roman" w:hAnsi="Times New Roman"/>
          <w:bCs/>
          <w:sz w:val="24"/>
          <w:szCs w:val="24"/>
        </w:rPr>
        <w:t xml:space="preserve">przyczyn technicznych nie jest możliwe przekazywanie tych dokumentów za pośrednictwem systemu określonego w art. 26aa </w:t>
      </w:r>
      <w:proofErr w:type="spellStart"/>
      <w:r w:rsidR="00F0763C" w:rsidRPr="004A099B">
        <w:rPr>
          <w:rFonts w:ascii="Times New Roman" w:hAnsi="Times New Roman"/>
          <w:bCs/>
          <w:sz w:val="24"/>
          <w:szCs w:val="24"/>
        </w:rPr>
        <w:t>upea</w:t>
      </w:r>
      <w:proofErr w:type="spellEnd"/>
      <w:r w:rsidR="00F0763C" w:rsidRPr="004A099B">
        <w:rPr>
          <w:rFonts w:ascii="Times New Roman" w:hAnsi="Times New Roman"/>
          <w:bCs/>
          <w:sz w:val="24"/>
          <w:szCs w:val="24"/>
        </w:rPr>
        <w:t xml:space="preserve">. Takie rozwiązanie umożliwi organom kierującym tytuły wykonawcze korzystanie z elektronicznej skrzynki podawczej nie tylko w okresie informatycznej adaptacji nowych rozwiązań, ale również w przypadku wystąpienia awarii. </w:t>
      </w:r>
    </w:p>
    <w:p w:rsidR="00213690" w:rsidRPr="004A099B" w:rsidRDefault="00213690" w:rsidP="004A099B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bCs/>
          <w:sz w:val="24"/>
          <w:szCs w:val="24"/>
        </w:rPr>
        <w:t xml:space="preserve">Wniósł o zapewnienie, że projektowany system określony w art. 26aa </w:t>
      </w:r>
      <w:proofErr w:type="spellStart"/>
      <w:r w:rsidRPr="004A099B">
        <w:rPr>
          <w:rFonts w:ascii="Times New Roman" w:hAnsi="Times New Roman"/>
          <w:bCs/>
          <w:sz w:val="24"/>
          <w:szCs w:val="24"/>
        </w:rPr>
        <w:t>upea</w:t>
      </w:r>
      <w:proofErr w:type="spellEnd"/>
      <w:r w:rsidRPr="004A099B">
        <w:rPr>
          <w:rFonts w:ascii="Times New Roman" w:hAnsi="Times New Roman"/>
          <w:bCs/>
          <w:sz w:val="24"/>
          <w:szCs w:val="24"/>
        </w:rPr>
        <w:t xml:space="preserve"> będzie przygotowany do odbioru dużego wolumenu komunikatów, przesyłek, paczek danych przygotowanych w formacie XML, odpowiadających opublikowanej strukturze.</w:t>
      </w:r>
    </w:p>
    <w:p w:rsidR="00213690" w:rsidRPr="004A099B" w:rsidRDefault="00213690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bCs/>
          <w:sz w:val="24"/>
          <w:szCs w:val="24"/>
        </w:rPr>
        <w:t>Uwaga wyjaśniona</w:t>
      </w:r>
    </w:p>
    <w:p w:rsidR="00F0763C" w:rsidRPr="004A099B" w:rsidRDefault="00213690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bCs/>
          <w:sz w:val="24"/>
          <w:szCs w:val="24"/>
        </w:rPr>
        <w:t>O</w:t>
      </w:r>
      <w:r w:rsidR="00F0763C" w:rsidRPr="004A099B">
        <w:rPr>
          <w:rFonts w:ascii="Times New Roman" w:hAnsi="Times New Roman"/>
          <w:bCs/>
          <w:sz w:val="24"/>
          <w:szCs w:val="24"/>
        </w:rPr>
        <w:t>becnie trwają analizy techniczne w zakresie możliwości przekazywania w ramach systemu teleinformatycznego dużego wolumenu komunikatów, przesyłek, paczek danych przygotowanych w formacie XML, odpowiadających opublikowanej strukturze.</w:t>
      </w:r>
    </w:p>
    <w:p w:rsidR="00213690" w:rsidRPr="004A099B" w:rsidRDefault="00213690" w:rsidP="004A099B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>Wniósł o</w:t>
      </w:r>
      <w:r w:rsidR="00F0763C" w:rsidRPr="004A099B">
        <w:rPr>
          <w:rFonts w:ascii="Times New Roman" w:hAnsi="Times New Roman"/>
          <w:sz w:val="24"/>
          <w:szCs w:val="24"/>
        </w:rPr>
        <w:t xml:space="preserve"> uzupełnieni</w:t>
      </w:r>
      <w:r w:rsidRPr="004A099B">
        <w:rPr>
          <w:rFonts w:ascii="Times New Roman" w:hAnsi="Times New Roman"/>
          <w:sz w:val="24"/>
          <w:szCs w:val="24"/>
        </w:rPr>
        <w:t>e</w:t>
      </w:r>
      <w:r w:rsidR="00F0763C" w:rsidRPr="004A099B">
        <w:rPr>
          <w:rFonts w:ascii="Times New Roman" w:hAnsi="Times New Roman"/>
          <w:sz w:val="24"/>
          <w:szCs w:val="24"/>
        </w:rPr>
        <w:t xml:space="preserve"> § 5 projektu rozporządzenia o możliwość automatycznej weryfikacji danych cudzoziemca w oparciu np. o numeru paszportu</w:t>
      </w:r>
      <w:r w:rsidRPr="004A099B">
        <w:rPr>
          <w:rFonts w:ascii="Times New Roman" w:hAnsi="Times New Roman"/>
          <w:sz w:val="24"/>
          <w:szCs w:val="24"/>
        </w:rPr>
        <w:t>.</w:t>
      </w:r>
    </w:p>
    <w:p w:rsidR="00213690" w:rsidRPr="004A099B" w:rsidRDefault="00213690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>Uwaga wyjaśniona</w:t>
      </w:r>
    </w:p>
    <w:p w:rsidR="00F0763C" w:rsidRPr="004A099B" w:rsidRDefault="00FF7F44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>W</w:t>
      </w:r>
      <w:r w:rsidR="00F0763C" w:rsidRPr="004A099B">
        <w:rPr>
          <w:rFonts w:ascii="Times New Roman" w:hAnsi="Times New Roman"/>
          <w:sz w:val="24"/>
          <w:szCs w:val="24"/>
        </w:rPr>
        <w:t>prowadzenie</w:t>
      </w:r>
      <w:r w:rsidRPr="004A099B">
        <w:rPr>
          <w:rFonts w:ascii="Times New Roman" w:hAnsi="Times New Roman"/>
          <w:sz w:val="24"/>
          <w:szCs w:val="24"/>
        </w:rPr>
        <w:t xml:space="preserve"> postulowanej</w:t>
      </w:r>
      <w:r w:rsidR="00F0763C" w:rsidRPr="004A099B">
        <w:rPr>
          <w:rFonts w:ascii="Times New Roman" w:hAnsi="Times New Roman"/>
          <w:sz w:val="24"/>
          <w:szCs w:val="24"/>
        </w:rPr>
        <w:t xml:space="preserve"> zmiany nie jest możliwe. </w:t>
      </w:r>
      <w:r w:rsidRPr="004A099B">
        <w:rPr>
          <w:rFonts w:ascii="Times New Roman" w:hAnsi="Times New Roman"/>
          <w:sz w:val="24"/>
          <w:szCs w:val="24"/>
        </w:rPr>
        <w:t>P</w:t>
      </w:r>
      <w:r w:rsidR="00F0763C" w:rsidRPr="004A099B">
        <w:rPr>
          <w:rFonts w:ascii="Times New Roman" w:hAnsi="Times New Roman"/>
          <w:sz w:val="24"/>
          <w:szCs w:val="24"/>
        </w:rPr>
        <w:t>aszport jest dokumentem, który podlega wymianie. W takim przypadku zmianie ulega również numer dokumentu. Możliwość weryfikacji danych musi zostać oparta o istniejące bazy referencyjne, z</w:t>
      </w:r>
      <w:r w:rsidRPr="004A099B">
        <w:rPr>
          <w:rFonts w:ascii="Times New Roman" w:hAnsi="Times New Roman"/>
          <w:sz w:val="24"/>
          <w:szCs w:val="24"/>
        </w:rPr>
        <w:t xml:space="preserve"> </w:t>
      </w:r>
      <w:r w:rsidR="00F0763C" w:rsidRPr="004A099B">
        <w:rPr>
          <w:rFonts w:ascii="Times New Roman" w:hAnsi="Times New Roman"/>
          <w:sz w:val="24"/>
          <w:szCs w:val="24"/>
        </w:rPr>
        <w:t xml:space="preserve">którymi te dane będą porównywane. </w:t>
      </w:r>
      <w:r w:rsidRPr="004A099B">
        <w:rPr>
          <w:rFonts w:ascii="Times New Roman" w:hAnsi="Times New Roman"/>
          <w:sz w:val="24"/>
          <w:szCs w:val="24"/>
        </w:rPr>
        <w:t>N</w:t>
      </w:r>
      <w:r w:rsidR="00F0763C" w:rsidRPr="004A099B">
        <w:rPr>
          <w:rFonts w:ascii="Times New Roman" w:hAnsi="Times New Roman"/>
          <w:sz w:val="24"/>
          <w:szCs w:val="24"/>
        </w:rPr>
        <w:t xml:space="preserve">ie ma </w:t>
      </w:r>
      <w:r w:rsidRPr="004A099B">
        <w:rPr>
          <w:rFonts w:ascii="Times New Roman" w:hAnsi="Times New Roman"/>
          <w:sz w:val="24"/>
          <w:szCs w:val="24"/>
        </w:rPr>
        <w:t xml:space="preserve">natomiast </w:t>
      </w:r>
      <w:r w:rsidR="00F0763C" w:rsidRPr="004A099B">
        <w:rPr>
          <w:rFonts w:ascii="Times New Roman" w:hAnsi="Times New Roman"/>
          <w:sz w:val="24"/>
          <w:szCs w:val="24"/>
        </w:rPr>
        <w:t>przeszkód do tego, by wierzyciel przekazał organowi egzekucyjnemu wszelkie posiadane dane umożliwiające identyfikację zobowiązanego</w:t>
      </w:r>
      <w:r w:rsidRPr="004A099B">
        <w:rPr>
          <w:rFonts w:ascii="Times New Roman" w:hAnsi="Times New Roman"/>
          <w:sz w:val="24"/>
          <w:szCs w:val="24"/>
        </w:rPr>
        <w:t xml:space="preserve">, mimo że dane te nie będą </w:t>
      </w:r>
      <w:r w:rsidR="00F0763C" w:rsidRPr="004A099B">
        <w:rPr>
          <w:rFonts w:ascii="Times New Roman" w:hAnsi="Times New Roman"/>
          <w:sz w:val="24"/>
          <w:szCs w:val="24"/>
        </w:rPr>
        <w:t xml:space="preserve">podlegały automatycznej weryfikacji przez system określony w art. 26aa </w:t>
      </w:r>
      <w:proofErr w:type="spellStart"/>
      <w:r w:rsidR="00F0763C" w:rsidRPr="004A099B">
        <w:rPr>
          <w:rFonts w:ascii="Times New Roman" w:hAnsi="Times New Roman"/>
          <w:sz w:val="24"/>
          <w:szCs w:val="24"/>
        </w:rPr>
        <w:t>upea</w:t>
      </w:r>
      <w:proofErr w:type="spellEnd"/>
      <w:r w:rsidR="00F0763C" w:rsidRPr="004A099B">
        <w:rPr>
          <w:rFonts w:ascii="Times New Roman" w:hAnsi="Times New Roman"/>
          <w:sz w:val="24"/>
          <w:szCs w:val="24"/>
        </w:rPr>
        <w:t xml:space="preserve">. </w:t>
      </w:r>
    </w:p>
    <w:p w:rsidR="00F0763C" w:rsidRPr="004A099B" w:rsidRDefault="00F0763C" w:rsidP="004A099B">
      <w:pPr>
        <w:ind w:firstLine="426"/>
        <w:jc w:val="both"/>
        <w:rPr>
          <w:sz w:val="24"/>
          <w:szCs w:val="24"/>
        </w:rPr>
      </w:pPr>
    </w:p>
    <w:p w:rsidR="00654737" w:rsidRPr="004A099B" w:rsidRDefault="00654737" w:rsidP="004A099B">
      <w:pPr>
        <w:jc w:val="both"/>
        <w:rPr>
          <w:sz w:val="24"/>
          <w:szCs w:val="24"/>
        </w:rPr>
      </w:pPr>
      <w:r w:rsidRPr="004A099B">
        <w:rPr>
          <w:sz w:val="24"/>
          <w:szCs w:val="24"/>
        </w:rPr>
        <w:t>KRUS zgłosiła do projektu uwagi</w:t>
      </w:r>
      <w:r w:rsidR="000970DA">
        <w:rPr>
          <w:sz w:val="24"/>
          <w:szCs w:val="24"/>
        </w:rPr>
        <w:t xml:space="preserve"> dotyczące dodania</w:t>
      </w:r>
      <w:r w:rsidR="00C32D25" w:rsidRPr="004A099B">
        <w:rPr>
          <w:sz w:val="24"/>
          <w:szCs w:val="24"/>
        </w:rPr>
        <w:t xml:space="preserve"> do projektu rozporządzenia przepisów przejściowych zapewniających wierzycielom odpowiedni czas na dostosowanie swoich systemów teleinformatycznych do projektowanych rozwiązań. </w:t>
      </w:r>
    </w:p>
    <w:p w:rsidR="00EA3559" w:rsidRPr="004A099B" w:rsidRDefault="00C32D25" w:rsidP="004A099B">
      <w:pPr>
        <w:jc w:val="both"/>
        <w:rPr>
          <w:bCs/>
          <w:sz w:val="24"/>
          <w:szCs w:val="24"/>
        </w:rPr>
      </w:pPr>
      <w:r w:rsidRPr="004A099B">
        <w:rPr>
          <w:bCs/>
          <w:sz w:val="24"/>
          <w:szCs w:val="24"/>
        </w:rPr>
        <w:t>Uwaga uwzględniona</w:t>
      </w:r>
    </w:p>
    <w:p w:rsidR="00C32D25" w:rsidRPr="004A099B" w:rsidRDefault="00C32D25" w:rsidP="004A099B">
      <w:pPr>
        <w:jc w:val="both"/>
        <w:rPr>
          <w:sz w:val="24"/>
          <w:szCs w:val="24"/>
        </w:rPr>
      </w:pPr>
      <w:r w:rsidRPr="004A099B">
        <w:rPr>
          <w:sz w:val="24"/>
          <w:szCs w:val="24"/>
        </w:rPr>
        <w:t xml:space="preserve">Przepis § 4 w nowym brzmieniu umożliwia przekazywanie tytułów wykonawczych i innych dokumentów do naczelnika urzędu skarbowego również za pośrednictwem elektronicznej skrzynki podawczej, jeżeli z przyczyn technicznych nie jest możliwe przekazywanie tych dokumentów za pośrednictwem systemu określonego w art. 26aa </w:t>
      </w:r>
      <w:proofErr w:type="spellStart"/>
      <w:r w:rsidR="000970DA">
        <w:rPr>
          <w:sz w:val="24"/>
          <w:szCs w:val="24"/>
        </w:rPr>
        <w:t>upea</w:t>
      </w:r>
      <w:proofErr w:type="spellEnd"/>
      <w:r w:rsidRPr="004A099B">
        <w:rPr>
          <w:sz w:val="24"/>
          <w:szCs w:val="24"/>
        </w:rPr>
        <w:t>. Projektowany przepis nie jest przepisem przejściowym, został zamieszczony w przepisach materialnych rozporządzenia. Takie rozwiązanie umożliwi wierzycielom korzystanie z elektronicznej skrzynki podawczej nie tylko w okresie informatycznej adaptacji nowych rozwiązań, ale również w</w:t>
      </w:r>
      <w:r w:rsidR="00032142" w:rsidRPr="004A099B">
        <w:rPr>
          <w:sz w:val="24"/>
          <w:szCs w:val="24"/>
        </w:rPr>
        <w:t xml:space="preserve"> </w:t>
      </w:r>
      <w:r w:rsidRPr="004A099B">
        <w:rPr>
          <w:sz w:val="24"/>
          <w:szCs w:val="24"/>
        </w:rPr>
        <w:t>przypadku wystąpienia awarii u</w:t>
      </w:r>
      <w:r w:rsidR="007428C3">
        <w:rPr>
          <w:sz w:val="24"/>
          <w:szCs w:val="24"/>
        </w:rPr>
        <w:t xml:space="preserve"> </w:t>
      </w:r>
      <w:r w:rsidRPr="004A099B">
        <w:rPr>
          <w:sz w:val="24"/>
          <w:szCs w:val="24"/>
        </w:rPr>
        <w:t xml:space="preserve">wierzyciela lub w omawianym systemie. </w:t>
      </w:r>
    </w:p>
    <w:p w:rsidR="00C32D25" w:rsidRPr="004A099B" w:rsidRDefault="00C32D25" w:rsidP="004A099B">
      <w:pPr>
        <w:jc w:val="both"/>
        <w:rPr>
          <w:bCs/>
          <w:sz w:val="24"/>
          <w:szCs w:val="24"/>
        </w:rPr>
      </w:pPr>
    </w:p>
    <w:p w:rsidR="00005A38" w:rsidRPr="004A099B" w:rsidRDefault="00005A38" w:rsidP="007428C3">
      <w:pPr>
        <w:jc w:val="both"/>
        <w:rPr>
          <w:sz w:val="24"/>
          <w:szCs w:val="24"/>
        </w:rPr>
      </w:pPr>
      <w:r w:rsidRPr="004A099B">
        <w:rPr>
          <w:sz w:val="24"/>
          <w:szCs w:val="24"/>
        </w:rPr>
        <w:t xml:space="preserve">W toku rozpatrywania projektu rozporządzenia przez </w:t>
      </w:r>
      <w:proofErr w:type="spellStart"/>
      <w:r w:rsidRPr="004A099B">
        <w:rPr>
          <w:sz w:val="24"/>
          <w:szCs w:val="24"/>
        </w:rPr>
        <w:t>KWRiST</w:t>
      </w:r>
      <w:proofErr w:type="spellEnd"/>
      <w:r w:rsidRPr="004A099B">
        <w:rPr>
          <w:sz w:val="24"/>
          <w:szCs w:val="24"/>
        </w:rPr>
        <w:t xml:space="preserve"> do projektu uwagi zgłosiły Urząd Miasta Bydgoszczy, Urząd Miejski Wrocławia oraz Urząd Miejski w Gdańsku. </w:t>
      </w:r>
    </w:p>
    <w:p w:rsidR="00005A38" w:rsidRPr="004A099B" w:rsidRDefault="00005A38" w:rsidP="004A099B">
      <w:pPr>
        <w:ind w:firstLine="426"/>
        <w:jc w:val="both"/>
        <w:rPr>
          <w:sz w:val="24"/>
          <w:szCs w:val="24"/>
        </w:rPr>
      </w:pPr>
    </w:p>
    <w:p w:rsidR="00005A38" w:rsidRPr="004A099B" w:rsidRDefault="00005A38" w:rsidP="004A099B">
      <w:pPr>
        <w:jc w:val="both"/>
        <w:rPr>
          <w:sz w:val="24"/>
          <w:szCs w:val="24"/>
        </w:rPr>
      </w:pPr>
      <w:r w:rsidRPr="004A099B">
        <w:rPr>
          <w:sz w:val="24"/>
          <w:szCs w:val="24"/>
        </w:rPr>
        <w:t>Urząd Miasta Bydgoszczy zgłosił uwagi dotyczące:</w:t>
      </w:r>
    </w:p>
    <w:p w:rsidR="00005A38" w:rsidRPr="004A099B" w:rsidRDefault="00005A38" w:rsidP="004A099B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bCs/>
          <w:sz w:val="24"/>
          <w:szCs w:val="24"/>
        </w:rPr>
        <w:t xml:space="preserve">Trybu uwierzytelniania się wierzyciela w systemie teleinformatycznym określonym w art. 26aa </w:t>
      </w:r>
      <w:proofErr w:type="spellStart"/>
      <w:r w:rsidRPr="004A099B">
        <w:rPr>
          <w:rFonts w:ascii="Times New Roman" w:hAnsi="Times New Roman"/>
          <w:bCs/>
          <w:sz w:val="24"/>
          <w:szCs w:val="24"/>
        </w:rPr>
        <w:t>upea</w:t>
      </w:r>
      <w:proofErr w:type="spellEnd"/>
      <w:r w:rsidRPr="004A099B">
        <w:rPr>
          <w:rFonts w:ascii="Times New Roman" w:hAnsi="Times New Roman"/>
          <w:bCs/>
          <w:sz w:val="24"/>
          <w:szCs w:val="24"/>
        </w:rPr>
        <w:t xml:space="preserve"> </w:t>
      </w:r>
      <w:r w:rsidR="00094C9A">
        <w:rPr>
          <w:rFonts w:ascii="Times New Roman" w:hAnsi="Times New Roman"/>
          <w:bCs/>
          <w:sz w:val="24"/>
          <w:szCs w:val="24"/>
        </w:rPr>
        <w:t>i dostępu do tego systemu kilku pracowników wierzyciela</w:t>
      </w:r>
      <w:r w:rsidRPr="004A099B">
        <w:rPr>
          <w:rFonts w:ascii="Times New Roman" w:hAnsi="Times New Roman"/>
          <w:bCs/>
          <w:sz w:val="24"/>
          <w:szCs w:val="24"/>
        </w:rPr>
        <w:t>.</w:t>
      </w:r>
    </w:p>
    <w:p w:rsidR="00005A38" w:rsidRPr="004A099B" w:rsidRDefault="00005A38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bCs/>
          <w:sz w:val="24"/>
          <w:szCs w:val="24"/>
        </w:rPr>
        <w:t xml:space="preserve">Uwaga </w:t>
      </w:r>
      <w:r w:rsidR="00BA7F84">
        <w:rPr>
          <w:rFonts w:ascii="Times New Roman" w:hAnsi="Times New Roman"/>
          <w:bCs/>
          <w:sz w:val="24"/>
          <w:szCs w:val="24"/>
        </w:rPr>
        <w:t>uwzględniona</w:t>
      </w:r>
    </w:p>
    <w:p w:rsidR="00EA3559" w:rsidRPr="004A099B" w:rsidRDefault="00BA7F84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A7F84">
        <w:rPr>
          <w:rFonts w:ascii="Times New Roman" w:hAnsi="Times New Roman"/>
          <w:sz w:val="24"/>
          <w:szCs w:val="24"/>
        </w:rPr>
        <w:t>Zakres metod uwierzytelnienia w projekcie rozporządzeni</w:t>
      </w:r>
      <w:r>
        <w:rPr>
          <w:rFonts w:ascii="Times New Roman" w:hAnsi="Times New Roman"/>
          <w:sz w:val="24"/>
          <w:szCs w:val="24"/>
        </w:rPr>
        <w:t>a został znacznie rozszerzony i </w:t>
      </w:r>
      <w:r w:rsidRPr="00BA7F84">
        <w:rPr>
          <w:rFonts w:ascii="Times New Roman" w:hAnsi="Times New Roman"/>
          <w:sz w:val="24"/>
          <w:szCs w:val="24"/>
        </w:rPr>
        <w:t xml:space="preserve">odpowiada przepisom ustawy o usługach zaufania oraz identyfikacji elektronicznej, bez wskazania szczególnych reguł w tym zakresie. </w:t>
      </w:r>
      <w:r w:rsidR="00005A38" w:rsidRPr="004A099B">
        <w:rPr>
          <w:rFonts w:ascii="Times New Roman" w:hAnsi="Times New Roman"/>
          <w:sz w:val="24"/>
          <w:szCs w:val="24"/>
        </w:rPr>
        <w:t xml:space="preserve">Dostęp do systemu nie będzie limitowany. Wniosek o przyznanie dostępu będzie składał wierzyciel (pracownik upoważniony do </w:t>
      </w:r>
      <w:r w:rsidR="00005A38" w:rsidRPr="004A099B">
        <w:rPr>
          <w:rFonts w:ascii="Times New Roman" w:hAnsi="Times New Roman"/>
          <w:sz w:val="24"/>
          <w:szCs w:val="24"/>
        </w:rPr>
        <w:lastRenderedPageBreak/>
        <w:t>działania w jego imieniu), co nie oznacza, że taki wniosek będzie skutkował przyznaniem dostępu tylko temu jednemu pracownikowi uprawnionemu do działania w imieniu wierzyciela.</w:t>
      </w:r>
    </w:p>
    <w:p w:rsidR="00005A38" w:rsidRPr="004A099B" w:rsidRDefault="00005A38" w:rsidP="004A099B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>Sposobu przekazywania tytułów wykonawczych i innych dokumentów organowi egzekucyjnemu niebędącemu naczelnikiem urzędu skarbowego na elektroniczną skrzynkę podawczą, w przypadku gdy wierzyciel jest jednocześnie organem egzekucyjnym.</w:t>
      </w:r>
    </w:p>
    <w:p w:rsidR="00005A38" w:rsidRPr="004A099B" w:rsidRDefault="00005A38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bCs/>
          <w:sz w:val="24"/>
          <w:szCs w:val="24"/>
        </w:rPr>
        <w:t>Uwaga wyjaśniona</w:t>
      </w:r>
    </w:p>
    <w:p w:rsidR="00005A38" w:rsidRPr="004A099B" w:rsidRDefault="00005A38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>Zgodnie z ustawą z dnia 14 czerwca 1960 r. Kodeks postępowania administracyjnego (Dz. U. z 2020 r. poz. 256)</w:t>
      </w:r>
      <w:r w:rsidR="00734E8D" w:rsidRPr="004A099B">
        <w:rPr>
          <w:rFonts w:ascii="Times New Roman" w:hAnsi="Times New Roman"/>
          <w:sz w:val="24"/>
          <w:szCs w:val="24"/>
        </w:rPr>
        <w:t xml:space="preserve"> – dalej „Kpa”</w:t>
      </w:r>
      <w:r w:rsidRPr="004A099B">
        <w:rPr>
          <w:rFonts w:ascii="Times New Roman" w:hAnsi="Times New Roman"/>
          <w:sz w:val="24"/>
          <w:szCs w:val="24"/>
        </w:rPr>
        <w:t xml:space="preserve"> oraz orzecznictwem sądów administracyjnych nie można mówić o dokonywaniu przez organ administracji publicznej czynności, w tym doręczeń, wobec samego siebie. Zatem projektowany przepis § 4 nie dotyczy przekazywania tytułów wykonawczych w przypadku gdy wierzyciel jest jednocześnie organem eg</w:t>
      </w:r>
      <w:r w:rsidR="00EE4AB1">
        <w:rPr>
          <w:rFonts w:ascii="Times New Roman" w:hAnsi="Times New Roman"/>
          <w:sz w:val="24"/>
          <w:szCs w:val="24"/>
        </w:rPr>
        <w:t xml:space="preserve">zekucyjnym. Natomiast zgodnie z </w:t>
      </w:r>
      <w:r w:rsidR="00EE4AB1" w:rsidRPr="004A099B">
        <w:rPr>
          <w:rFonts w:ascii="Times New Roman" w:hAnsi="Times New Roman"/>
          <w:sz w:val="24"/>
          <w:szCs w:val="24"/>
        </w:rPr>
        <w:t xml:space="preserve">art. 62b </w:t>
      </w:r>
      <w:r w:rsidRPr="004A099B">
        <w:rPr>
          <w:rFonts w:ascii="Times New Roman" w:hAnsi="Times New Roman"/>
          <w:sz w:val="24"/>
          <w:szCs w:val="24"/>
        </w:rPr>
        <w:t xml:space="preserve">zmienionym </w:t>
      </w:r>
      <w:r w:rsidR="00EE4AB1">
        <w:rPr>
          <w:rFonts w:ascii="Times New Roman" w:hAnsi="Times New Roman"/>
          <w:sz w:val="24"/>
          <w:szCs w:val="24"/>
        </w:rPr>
        <w:t>ustawą</w:t>
      </w:r>
      <w:r w:rsidRPr="004A099B">
        <w:rPr>
          <w:rFonts w:ascii="Times New Roman" w:hAnsi="Times New Roman"/>
          <w:sz w:val="24"/>
          <w:szCs w:val="24"/>
        </w:rPr>
        <w:t xml:space="preserve"> z 11 września 2019 r. o zmianie ustawy o postępowaniu egzekucyjnym w administracji oraz niektórych innych ustaw </w:t>
      </w:r>
      <w:r w:rsidR="001D1FDD" w:rsidRPr="004A099B">
        <w:rPr>
          <w:rFonts w:ascii="Times New Roman" w:hAnsi="Times New Roman"/>
          <w:sz w:val="24"/>
          <w:szCs w:val="24"/>
        </w:rPr>
        <w:t xml:space="preserve">(Dz. U. poz. 2070) – dalej „ustawa nowelizująca”, </w:t>
      </w:r>
      <w:r w:rsidRPr="004A099B">
        <w:rPr>
          <w:rFonts w:ascii="Times New Roman" w:hAnsi="Times New Roman"/>
          <w:sz w:val="24"/>
          <w:szCs w:val="24"/>
        </w:rPr>
        <w:t>w przypadku zbiegu egzekucji</w:t>
      </w:r>
      <w:r w:rsidR="009B2B6A">
        <w:rPr>
          <w:rFonts w:ascii="Times New Roman" w:hAnsi="Times New Roman"/>
          <w:sz w:val="24"/>
          <w:szCs w:val="24"/>
        </w:rPr>
        <w:t xml:space="preserve"> </w:t>
      </w:r>
      <w:r w:rsidR="009B2B6A" w:rsidRPr="004A099B">
        <w:rPr>
          <w:rFonts w:ascii="Times New Roman" w:hAnsi="Times New Roman"/>
          <w:sz w:val="24"/>
          <w:szCs w:val="24"/>
        </w:rPr>
        <w:t xml:space="preserve">będzie </w:t>
      </w:r>
      <w:r w:rsidRPr="004A099B">
        <w:rPr>
          <w:rFonts w:ascii="Times New Roman" w:hAnsi="Times New Roman"/>
          <w:sz w:val="24"/>
          <w:szCs w:val="24"/>
        </w:rPr>
        <w:t>przekazywa</w:t>
      </w:r>
      <w:r w:rsidR="00734E8D" w:rsidRPr="004A099B">
        <w:rPr>
          <w:rFonts w:ascii="Times New Roman" w:hAnsi="Times New Roman"/>
          <w:sz w:val="24"/>
          <w:szCs w:val="24"/>
        </w:rPr>
        <w:t>na już tylko adnotacja w</w:t>
      </w:r>
      <w:r w:rsidR="001D1FDD" w:rsidRPr="004A099B">
        <w:rPr>
          <w:rFonts w:ascii="Times New Roman" w:hAnsi="Times New Roman"/>
          <w:sz w:val="24"/>
          <w:szCs w:val="24"/>
        </w:rPr>
        <w:t xml:space="preserve"> </w:t>
      </w:r>
      <w:r w:rsidRPr="004A099B">
        <w:rPr>
          <w:rFonts w:ascii="Times New Roman" w:hAnsi="Times New Roman"/>
          <w:sz w:val="24"/>
          <w:szCs w:val="24"/>
        </w:rPr>
        <w:t>sprawie zbiegu. Nie będą przekazywane do organu egzekucyjnego, który przejął łączne prowadzenie egzekucji odpisy tytułów wykonawczych i innych dokumentów.</w:t>
      </w:r>
    </w:p>
    <w:p w:rsidR="00005A38" w:rsidRPr="004A099B" w:rsidRDefault="00734E8D" w:rsidP="004A099B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 xml:space="preserve">Wątpliwości </w:t>
      </w:r>
      <w:r w:rsidR="00EE4AB1">
        <w:rPr>
          <w:rFonts w:ascii="Times New Roman" w:hAnsi="Times New Roman"/>
          <w:sz w:val="24"/>
          <w:szCs w:val="24"/>
        </w:rPr>
        <w:t>odnoszących się do</w:t>
      </w:r>
      <w:r w:rsidRPr="004A099B">
        <w:rPr>
          <w:rFonts w:ascii="Times New Roman" w:hAnsi="Times New Roman"/>
          <w:sz w:val="24"/>
          <w:szCs w:val="24"/>
        </w:rPr>
        <w:t xml:space="preserve"> automatycznej weryfikacji danych zobowiązanego będącego spółką, zawartych w tytule wykonawczym. </w:t>
      </w:r>
    </w:p>
    <w:p w:rsidR="00734E8D" w:rsidRPr="004A099B" w:rsidRDefault="00734E8D" w:rsidP="004A099B">
      <w:pPr>
        <w:ind w:firstLine="426"/>
        <w:jc w:val="both"/>
        <w:rPr>
          <w:bCs/>
          <w:sz w:val="24"/>
          <w:szCs w:val="24"/>
        </w:rPr>
      </w:pPr>
      <w:r w:rsidRPr="004A099B">
        <w:rPr>
          <w:bCs/>
          <w:sz w:val="24"/>
          <w:szCs w:val="24"/>
        </w:rPr>
        <w:t>Uwaga wyjaśniona</w:t>
      </w:r>
    </w:p>
    <w:p w:rsidR="00734E8D" w:rsidRPr="004A099B" w:rsidRDefault="00734E8D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 xml:space="preserve">Przepisy ustawy </w:t>
      </w:r>
      <w:r w:rsidR="001D1FDD" w:rsidRPr="004A099B">
        <w:rPr>
          <w:rFonts w:ascii="Times New Roman" w:hAnsi="Times New Roman"/>
          <w:sz w:val="24"/>
          <w:szCs w:val="24"/>
        </w:rPr>
        <w:t>nowelizującej</w:t>
      </w:r>
      <w:r w:rsidRPr="004A099B">
        <w:rPr>
          <w:rFonts w:ascii="Times New Roman" w:hAnsi="Times New Roman"/>
          <w:sz w:val="24"/>
          <w:szCs w:val="24"/>
        </w:rPr>
        <w:t xml:space="preserve"> nie przewidują automatycznej weryfikacji danych </w:t>
      </w:r>
      <w:r w:rsidR="00EE4AB1">
        <w:rPr>
          <w:rFonts w:ascii="Times New Roman" w:hAnsi="Times New Roman"/>
          <w:sz w:val="24"/>
          <w:szCs w:val="24"/>
        </w:rPr>
        <w:t>zobowiązanego objętych tytułem wykonawczym</w:t>
      </w:r>
      <w:r w:rsidRPr="004A099B">
        <w:rPr>
          <w:rFonts w:ascii="Times New Roman" w:hAnsi="Times New Roman"/>
          <w:sz w:val="24"/>
          <w:szCs w:val="24"/>
        </w:rPr>
        <w:t xml:space="preserve"> z danymi zawartymi w K</w:t>
      </w:r>
      <w:r w:rsidR="00EE4AB1">
        <w:rPr>
          <w:rFonts w:ascii="Times New Roman" w:hAnsi="Times New Roman"/>
          <w:sz w:val="24"/>
          <w:szCs w:val="24"/>
        </w:rPr>
        <w:t xml:space="preserve">rajowym </w:t>
      </w:r>
      <w:r w:rsidRPr="004A099B">
        <w:rPr>
          <w:rFonts w:ascii="Times New Roman" w:hAnsi="Times New Roman"/>
          <w:sz w:val="24"/>
          <w:szCs w:val="24"/>
        </w:rPr>
        <w:t>R</w:t>
      </w:r>
      <w:r w:rsidR="00EE4AB1">
        <w:rPr>
          <w:rFonts w:ascii="Times New Roman" w:hAnsi="Times New Roman"/>
          <w:sz w:val="24"/>
          <w:szCs w:val="24"/>
        </w:rPr>
        <w:t xml:space="preserve">ejestrze </w:t>
      </w:r>
      <w:r w:rsidRPr="004A099B">
        <w:rPr>
          <w:rFonts w:ascii="Times New Roman" w:hAnsi="Times New Roman"/>
          <w:sz w:val="24"/>
          <w:szCs w:val="24"/>
        </w:rPr>
        <w:t>S</w:t>
      </w:r>
      <w:r w:rsidR="00EE4AB1">
        <w:rPr>
          <w:rFonts w:ascii="Times New Roman" w:hAnsi="Times New Roman"/>
          <w:sz w:val="24"/>
          <w:szCs w:val="24"/>
        </w:rPr>
        <w:t>ądowym</w:t>
      </w:r>
      <w:r w:rsidRPr="004A099B">
        <w:rPr>
          <w:rFonts w:ascii="Times New Roman" w:hAnsi="Times New Roman"/>
          <w:sz w:val="24"/>
          <w:szCs w:val="24"/>
        </w:rPr>
        <w:t>.</w:t>
      </w:r>
    </w:p>
    <w:p w:rsidR="00734E8D" w:rsidRPr="004A099B" w:rsidRDefault="00734E8D" w:rsidP="004A099B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 xml:space="preserve">Sposobu udostępnienia danych </w:t>
      </w:r>
      <w:r w:rsidR="00EE4AB1">
        <w:rPr>
          <w:rFonts w:ascii="Times New Roman" w:hAnsi="Times New Roman"/>
          <w:sz w:val="24"/>
          <w:szCs w:val="24"/>
        </w:rPr>
        <w:t>zawartych w tytule wykonawczym w postaci elektronicznej</w:t>
      </w:r>
      <w:r w:rsidRPr="004A099B">
        <w:rPr>
          <w:rFonts w:ascii="Times New Roman" w:hAnsi="Times New Roman"/>
          <w:sz w:val="24"/>
          <w:szCs w:val="24"/>
        </w:rPr>
        <w:t xml:space="preserve"> zobowiązanemu, któremu uprzedni</w:t>
      </w:r>
      <w:r w:rsidR="00EE4AB1">
        <w:rPr>
          <w:rFonts w:ascii="Times New Roman" w:hAnsi="Times New Roman"/>
          <w:sz w:val="24"/>
          <w:szCs w:val="24"/>
        </w:rPr>
        <w:t xml:space="preserve">o doręczono wydruk tego tytułu, </w:t>
      </w:r>
      <w:r w:rsidR="00EE4AB1" w:rsidRPr="004A099B">
        <w:rPr>
          <w:rFonts w:ascii="Times New Roman" w:hAnsi="Times New Roman"/>
          <w:sz w:val="24"/>
          <w:szCs w:val="24"/>
        </w:rPr>
        <w:t>przez pracownika organu egzeku</w:t>
      </w:r>
      <w:r w:rsidR="00EE4AB1">
        <w:rPr>
          <w:rFonts w:ascii="Times New Roman" w:hAnsi="Times New Roman"/>
          <w:sz w:val="24"/>
          <w:szCs w:val="24"/>
        </w:rPr>
        <w:t xml:space="preserve">cyjnego pobierającego gotówkę w </w:t>
      </w:r>
      <w:r w:rsidR="00EE4AB1" w:rsidRPr="004A099B">
        <w:rPr>
          <w:rFonts w:ascii="Times New Roman" w:hAnsi="Times New Roman"/>
          <w:sz w:val="24"/>
          <w:szCs w:val="24"/>
        </w:rPr>
        <w:t>terenie</w:t>
      </w:r>
      <w:r w:rsidR="00EE4AB1">
        <w:rPr>
          <w:rFonts w:ascii="Times New Roman" w:hAnsi="Times New Roman"/>
          <w:sz w:val="24"/>
          <w:szCs w:val="24"/>
        </w:rPr>
        <w:t>.</w:t>
      </w:r>
    </w:p>
    <w:p w:rsidR="00734E8D" w:rsidRPr="004A099B" w:rsidRDefault="00734E8D" w:rsidP="004A099B">
      <w:pPr>
        <w:ind w:left="426"/>
        <w:jc w:val="both"/>
        <w:rPr>
          <w:bCs/>
          <w:sz w:val="24"/>
          <w:szCs w:val="24"/>
        </w:rPr>
      </w:pPr>
      <w:r w:rsidRPr="004A099B">
        <w:rPr>
          <w:bCs/>
          <w:sz w:val="24"/>
          <w:szCs w:val="24"/>
        </w:rPr>
        <w:t>Uwaga wyjaśniona</w:t>
      </w:r>
    </w:p>
    <w:p w:rsidR="00734E8D" w:rsidRPr="004A099B" w:rsidRDefault="00734E8D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 xml:space="preserve">Jeżeli wydruk tytułu wykonawczego sporządzanego w postaci elektronicznej został zobowiązanemu doręczony wcześniej, nie ma potrzeby aby taki wydruk doręczany był ponownie. Zatem jeżeli zobowiązany będzie chciał ponownie zapoznać się z treścią doręczonego mu uprzednio tytułu wykonawczego, w zależności od możliwości technicznych można okazać zobowiązanemu wydruk tego tytułu bądź wyświetlić jego treść na monitorze (np. tablecie, telefonie komórkowym, jeżeli pracownik </w:t>
      </w:r>
      <w:r w:rsidR="00DD3050">
        <w:rPr>
          <w:rFonts w:ascii="Times New Roman" w:hAnsi="Times New Roman"/>
          <w:sz w:val="24"/>
          <w:szCs w:val="24"/>
        </w:rPr>
        <w:t xml:space="preserve">organu egzekucyjnego </w:t>
      </w:r>
      <w:r w:rsidRPr="004A099B">
        <w:rPr>
          <w:rFonts w:ascii="Times New Roman" w:hAnsi="Times New Roman"/>
          <w:sz w:val="24"/>
          <w:szCs w:val="24"/>
        </w:rPr>
        <w:t>jest w terenie i dysponuje takim urządzeniem).</w:t>
      </w:r>
    </w:p>
    <w:p w:rsidR="00734E8D" w:rsidRPr="004A099B" w:rsidRDefault="00734E8D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005A38" w:rsidRPr="004A099B" w:rsidRDefault="00734E8D" w:rsidP="004A099B">
      <w:pPr>
        <w:jc w:val="both"/>
        <w:rPr>
          <w:sz w:val="24"/>
          <w:szCs w:val="24"/>
        </w:rPr>
      </w:pPr>
      <w:r w:rsidRPr="004A099B">
        <w:rPr>
          <w:sz w:val="24"/>
          <w:szCs w:val="24"/>
        </w:rPr>
        <w:t>Urząd Miejski Wrocławia zgłosił uwagi dotyczące:</w:t>
      </w:r>
    </w:p>
    <w:p w:rsidR="00734E8D" w:rsidRPr="004A099B" w:rsidRDefault="00734E8D" w:rsidP="004A099B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 xml:space="preserve">Sposobu archiwizowania tytułów wykonawczych sporządzonych w postaci elektronicznej. </w:t>
      </w:r>
    </w:p>
    <w:p w:rsidR="00734E8D" w:rsidRPr="004A099B" w:rsidRDefault="00734E8D" w:rsidP="004A099B">
      <w:pPr>
        <w:ind w:left="426"/>
        <w:jc w:val="both"/>
        <w:rPr>
          <w:bCs/>
          <w:sz w:val="24"/>
          <w:szCs w:val="24"/>
        </w:rPr>
      </w:pPr>
      <w:r w:rsidRPr="004A099B">
        <w:rPr>
          <w:bCs/>
          <w:sz w:val="24"/>
          <w:szCs w:val="24"/>
        </w:rPr>
        <w:t>Uwaga wyjaśniona</w:t>
      </w:r>
    </w:p>
    <w:p w:rsidR="00734E8D" w:rsidRPr="004A099B" w:rsidRDefault="00734E8D" w:rsidP="004A099B">
      <w:pPr>
        <w:ind w:left="426"/>
        <w:jc w:val="both"/>
        <w:rPr>
          <w:rFonts w:eastAsia="Calibri"/>
          <w:sz w:val="24"/>
          <w:szCs w:val="24"/>
          <w:lang w:eastAsia="en-US"/>
        </w:rPr>
      </w:pPr>
      <w:r w:rsidRPr="004A099B">
        <w:rPr>
          <w:rFonts w:eastAsia="Calibri"/>
          <w:sz w:val="24"/>
          <w:szCs w:val="24"/>
          <w:lang w:eastAsia="en-US"/>
        </w:rPr>
        <w:t xml:space="preserve">Kwestie dotyczące archiwizacji i przechowywania dokumentów elektronicznych nie leżą w zakresie regulacji projektowanego rozporządzenia, ani </w:t>
      </w:r>
      <w:proofErr w:type="spellStart"/>
      <w:r w:rsidR="00E34CCD">
        <w:rPr>
          <w:rFonts w:eastAsia="Calibri"/>
          <w:sz w:val="24"/>
          <w:szCs w:val="24"/>
          <w:lang w:eastAsia="en-US"/>
        </w:rPr>
        <w:t>upea</w:t>
      </w:r>
      <w:proofErr w:type="spellEnd"/>
      <w:r w:rsidRPr="004A099B">
        <w:rPr>
          <w:rFonts w:eastAsia="Calibri"/>
          <w:sz w:val="24"/>
          <w:szCs w:val="24"/>
          <w:lang w:eastAsia="en-US"/>
        </w:rPr>
        <w:t>. Wskazaną materię reguluje przede wszystkim ustawa z</w:t>
      </w:r>
      <w:r w:rsidR="00E34CCD">
        <w:rPr>
          <w:rFonts w:eastAsia="Calibri"/>
          <w:sz w:val="24"/>
          <w:szCs w:val="24"/>
          <w:lang w:eastAsia="en-US"/>
        </w:rPr>
        <w:t xml:space="preserve"> </w:t>
      </w:r>
      <w:r w:rsidRPr="004A099B">
        <w:rPr>
          <w:rFonts w:eastAsia="Calibri"/>
          <w:sz w:val="24"/>
          <w:szCs w:val="24"/>
          <w:lang w:eastAsia="en-US"/>
        </w:rPr>
        <w:t xml:space="preserve">dnia 14 lipca 1983 r. o </w:t>
      </w:r>
      <w:r w:rsidR="00E34CCD">
        <w:rPr>
          <w:rFonts w:eastAsia="Calibri"/>
          <w:sz w:val="24"/>
          <w:szCs w:val="24"/>
          <w:lang w:eastAsia="en-US"/>
        </w:rPr>
        <w:t>narodowym zasobie archiwalnym i </w:t>
      </w:r>
      <w:r w:rsidRPr="004A099B">
        <w:rPr>
          <w:rFonts w:eastAsia="Calibri"/>
          <w:sz w:val="24"/>
          <w:szCs w:val="24"/>
          <w:lang w:eastAsia="en-US"/>
        </w:rPr>
        <w:t>archiwach (Dz. U. z 2020 r. poz. 164).</w:t>
      </w:r>
    </w:p>
    <w:p w:rsidR="00734E8D" w:rsidRPr="004A099B" w:rsidRDefault="00734E8D" w:rsidP="004A099B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>Zmiany miejsca zamieszczenia schematu XML tytułu wykonawczego w Biuletynie Informacji publicznej.</w:t>
      </w:r>
    </w:p>
    <w:p w:rsidR="00734E8D" w:rsidRPr="004A099B" w:rsidRDefault="00734E8D" w:rsidP="004A099B">
      <w:pPr>
        <w:ind w:left="426"/>
        <w:jc w:val="both"/>
        <w:rPr>
          <w:bCs/>
          <w:sz w:val="24"/>
          <w:szCs w:val="24"/>
        </w:rPr>
      </w:pPr>
      <w:r w:rsidRPr="004A099B">
        <w:rPr>
          <w:bCs/>
          <w:sz w:val="24"/>
          <w:szCs w:val="24"/>
        </w:rPr>
        <w:t>Uwaga wyjaśniona</w:t>
      </w:r>
    </w:p>
    <w:p w:rsidR="00734E8D" w:rsidRPr="004A099B" w:rsidRDefault="00734E8D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 xml:space="preserve">Po wejściu w życie ustawy </w:t>
      </w:r>
      <w:r w:rsidR="001D1FDD" w:rsidRPr="004A099B">
        <w:rPr>
          <w:rFonts w:ascii="Times New Roman" w:hAnsi="Times New Roman"/>
          <w:sz w:val="24"/>
          <w:szCs w:val="24"/>
        </w:rPr>
        <w:t>nowelizującej</w:t>
      </w:r>
      <w:r w:rsidRPr="004A099B">
        <w:rPr>
          <w:rFonts w:ascii="Times New Roman" w:hAnsi="Times New Roman"/>
          <w:sz w:val="24"/>
          <w:szCs w:val="24"/>
        </w:rPr>
        <w:t xml:space="preserve"> będzie obowiązywał, podobnie jak obecnie, jeden wzór tytułu wykonawczego dla egzekucji pieniężnej, jeden dla egzekucji niepieniężnej. Dodano również wzór kolejnego tytułu wykonawczego. W przypadku każdego wzoru będzie obowiązywał jeden schemat </w:t>
      </w:r>
      <w:r w:rsidR="001D1FDD" w:rsidRPr="004A099B">
        <w:rPr>
          <w:rFonts w:ascii="Times New Roman" w:hAnsi="Times New Roman"/>
          <w:sz w:val="24"/>
          <w:szCs w:val="24"/>
        </w:rPr>
        <w:t>XML</w:t>
      </w:r>
      <w:r w:rsidRPr="004A099B">
        <w:rPr>
          <w:rFonts w:ascii="Times New Roman" w:hAnsi="Times New Roman"/>
          <w:sz w:val="24"/>
          <w:szCs w:val="24"/>
        </w:rPr>
        <w:t xml:space="preserve">. Zmieni się jedynie miejsce jego </w:t>
      </w:r>
      <w:r w:rsidRPr="004A099B">
        <w:rPr>
          <w:rFonts w:ascii="Times New Roman" w:hAnsi="Times New Roman"/>
          <w:sz w:val="24"/>
          <w:szCs w:val="24"/>
        </w:rPr>
        <w:lastRenderedPageBreak/>
        <w:t>publikacji. W okresie przejściowym tj. do czasu dostosowania swoich systemów teleinformatycznych (nie dłużej niż przez 9 miesięcy od dnia wejścia w życie rozporządzenia Ministra Finansów wprowadzającego nowe wzory tytułów wykonawczych) wierzyciele będą mogli korzystać z dotychczasowego wzoru tytułu wykonawczego pod warunkiem zapewnienia prawidłowego poinformowania zobowiązanego w zakresie zarzutów, sprzeciwu małżonka. Udostępnianie tytułu wykonawczego w BIP na stronie podmiotowej Min</w:t>
      </w:r>
      <w:r w:rsidR="00E34CCD">
        <w:rPr>
          <w:rFonts w:ascii="Times New Roman" w:hAnsi="Times New Roman"/>
          <w:sz w:val="24"/>
          <w:szCs w:val="24"/>
        </w:rPr>
        <w:t>istra Finansów wynika z kolei z </w:t>
      </w:r>
      <w:r w:rsidRPr="004A099B">
        <w:rPr>
          <w:rFonts w:ascii="Times New Roman" w:hAnsi="Times New Roman"/>
          <w:sz w:val="24"/>
          <w:szCs w:val="24"/>
        </w:rPr>
        <w:t>uregulowania w art. 26 § 1g pkt 2</w:t>
      </w:r>
      <w:r w:rsidR="00E34C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CCD">
        <w:rPr>
          <w:rFonts w:ascii="Times New Roman" w:hAnsi="Times New Roman"/>
          <w:sz w:val="24"/>
          <w:szCs w:val="24"/>
        </w:rPr>
        <w:t>upea</w:t>
      </w:r>
      <w:proofErr w:type="spellEnd"/>
      <w:r w:rsidR="00E34CCD">
        <w:rPr>
          <w:rFonts w:ascii="Times New Roman" w:hAnsi="Times New Roman"/>
          <w:sz w:val="24"/>
          <w:szCs w:val="24"/>
        </w:rPr>
        <w:t xml:space="preserve"> tj.</w:t>
      </w:r>
      <w:r w:rsidRPr="004A099B">
        <w:rPr>
          <w:rFonts w:ascii="Times New Roman" w:hAnsi="Times New Roman"/>
          <w:sz w:val="24"/>
          <w:szCs w:val="24"/>
        </w:rPr>
        <w:t xml:space="preserve"> analogicznego sposobu zamies</w:t>
      </w:r>
      <w:r w:rsidR="00E34CCD">
        <w:rPr>
          <w:rFonts w:ascii="Times New Roman" w:hAnsi="Times New Roman"/>
          <w:sz w:val="24"/>
          <w:szCs w:val="24"/>
        </w:rPr>
        <w:t>zczania słowników referencyjnych dotyczących</w:t>
      </w:r>
      <w:r w:rsidRPr="004A099B">
        <w:rPr>
          <w:rFonts w:ascii="Times New Roman" w:hAnsi="Times New Roman"/>
          <w:sz w:val="24"/>
          <w:szCs w:val="24"/>
        </w:rPr>
        <w:t xml:space="preserve"> danych wierzyciela i podstawy prawnej obowiązku.</w:t>
      </w:r>
    </w:p>
    <w:p w:rsidR="00BD58FD" w:rsidRPr="004A099B" w:rsidRDefault="00BD58FD" w:rsidP="004A099B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>Sposobu nadania tytułowi wykonawczemu klauzuli o skierowaniu tego tytułu do egzekucji administracyjnej w sytuacji braku możliwości nadania tej klauzuli elektronicznie.</w:t>
      </w:r>
    </w:p>
    <w:p w:rsidR="00BD58FD" w:rsidRPr="004A099B" w:rsidRDefault="00BD58FD" w:rsidP="004A099B">
      <w:pPr>
        <w:ind w:left="426"/>
        <w:jc w:val="both"/>
        <w:rPr>
          <w:bCs/>
          <w:sz w:val="24"/>
          <w:szCs w:val="24"/>
        </w:rPr>
      </w:pPr>
      <w:r w:rsidRPr="004A099B">
        <w:rPr>
          <w:bCs/>
          <w:sz w:val="24"/>
          <w:szCs w:val="24"/>
        </w:rPr>
        <w:t>Uwaga wyjaśniona</w:t>
      </w:r>
    </w:p>
    <w:p w:rsidR="00BD58FD" w:rsidRPr="004A099B" w:rsidRDefault="00BD58FD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 xml:space="preserve">W przypadku braku możliwości nadania elektronicznemu tytułowi wykonawczemu elektronicznej klauzuli o skierowaniu tego tytułu do egzekucji administracyjnej klauzula będzie nadawana na wydruku takiego tytułu – projektowany § 6 pkt 3 rozporządzenia.  </w:t>
      </w:r>
    </w:p>
    <w:p w:rsidR="00705C32" w:rsidRPr="004A099B" w:rsidRDefault="00705C32" w:rsidP="004A099B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>Sposobu przekazywania tytułów wykonawczych i innych dokumentów organowi egzekucyjnemu niebędącemu naczelnikiem urzędu skarbowego na elektroniczną skrzynkę podawczą, w przypadku gdy wierzyciel jest jednocześnie organem egzekucyjnym.</w:t>
      </w:r>
    </w:p>
    <w:p w:rsidR="00705C32" w:rsidRPr="004A099B" w:rsidRDefault="00705C32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bCs/>
          <w:sz w:val="24"/>
          <w:szCs w:val="24"/>
        </w:rPr>
        <w:t>Uwaga wyjaśniona</w:t>
      </w:r>
    </w:p>
    <w:p w:rsidR="00705C32" w:rsidRPr="004A099B" w:rsidRDefault="00705C32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>Zgodnie z Kpa oraz orzecznictwem sądów administracyjnych nie można mówić o dokonywaniu przez organ administracji publicznej czynności, w tym doręczeń, wobec samego siebie. Zatem projektowany przepis § 4 nie dotyczy przekazywania tytułów wykonawczych w przypadku gdy wierzyciel jest jednocześnie organem egzekucyjnym. Natomiast zgodnie z</w:t>
      </w:r>
      <w:r w:rsidR="009B2B6A">
        <w:rPr>
          <w:rFonts w:ascii="Times New Roman" w:hAnsi="Times New Roman"/>
          <w:sz w:val="24"/>
          <w:szCs w:val="24"/>
        </w:rPr>
        <w:t xml:space="preserve"> </w:t>
      </w:r>
      <w:r w:rsidR="009B2B6A" w:rsidRPr="004A099B">
        <w:rPr>
          <w:rFonts w:ascii="Times New Roman" w:hAnsi="Times New Roman"/>
          <w:sz w:val="24"/>
          <w:szCs w:val="24"/>
        </w:rPr>
        <w:t xml:space="preserve">art. 62b </w:t>
      </w:r>
      <w:r w:rsidRPr="004A099B">
        <w:rPr>
          <w:rFonts w:ascii="Times New Roman" w:hAnsi="Times New Roman"/>
          <w:sz w:val="24"/>
          <w:szCs w:val="24"/>
        </w:rPr>
        <w:t xml:space="preserve">zmienionym </w:t>
      </w:r>
      <w:r w:rsidR="009B2B6A">
        <w:rPr>
          <w:rFonts w:ascii="Times New Roman" w:hAnsi="Times New Roman"/>
          <w:sz w:val="24"/>
          <w:szCs w:val="24"/>
        </w:rPr>
        <w:t>ustawą</w:t>
      </w:r>
      <w:r w:rsidRPr="004A099B">
        <w:rPr>
          <w:rFonts w:ascii="Times New Roman" w:hAnsi="Times New Roman"/>
          <w:sz w:val="24"/>
          <w:szCs w:val="24"/>
        </w:rPr>
        <w:t xml:space="preserve"> </w:t>
      </w:r>
      <w:r w:rsidR="009B2B6A">
        <w:rPr>
          <w:rFonts w:ascii="Times New Roman" w:hAnsi="Times New Roman"/>
          <w:sz w:val="24"/>
          <w:szCs w:val="24"/>
        </w:rPr>
        <w:t>nowelizującą</w:t>
      </w:r>
      <w:r w:rsidRPr="004A099B">
        <w:rPr>
          <w:rFonts w:ascii="Times New Roman" w:hAnsi="Times New Roman"/>
          <w:sz w:val="24"/>
          <w:szCs w:val="24"/>
        </w:rPr>
        <w:t xml:space="preserve">, w przypadku zbiegu egzekucji </w:t>
      </w:r>
      <w:r w:rsidR="009B2B6A" w:rsidRPr="004A099B">
        <w:rPr>
          <w:rFonts w:ascii="Times New Roman" w:hAnsi="Times New Roman"/>
          <w:sz w:val="24"/>
          <w:szCs w:val="24"/>
        </w:rPr>
        <w:t xml:space="preserve">będzie </w:t>
      </w:r>
      <w:r w:rsidRPr="004A099B">
        <w:rPr>
          <w:rFonts w:ascii="Times New Roman" w:hAnsi="Times New Roman"/>
          <w:sz w:val="24"/>
          <w:szCs w:val="24"/>
        </w:rPr>
        <w:t>przekazywana już tylko adnotacja w sprawie zbiegu. Nie będą przekazywane do organu egzekucyjnego, który przejął łączne prowadzenie egzekucji odpisy tytułów wykonawczych i innych dokumentów.</w:t>
      </w:r>
    </w:p>
    <w:p w:rsidR="00562057" w:rsidRPr="004A099B" w:rsidRDefault="009B2B6A" w:rsidP="004A099B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Sposobu d</w:t>
      </w:r>
      <w:r w:rsidR="00562057" w:rsidRPr="004A099B">
        <w:rPr>
          <w:rFonts w:ascii="Times New Roman" w:hAnsi="Times New Roman"/>
          <w:sz w:val="24"/>
          <w:szCs w:val="24"/>
        </w:rPr>
        <w:t xml:space="preserve">okumentowania w aktach sprawy </w:t>
      </w:r>
      <w:r>
        <w:rPr>
          <w:rFonts w:ascii="Times New Roman" w:hAnsi="Times New Roman"/>
          <w:sz w:val="24"/>
          <w:szCs w:val="24"/>
        </w:rPr>
        <w:t xml:space="preserve">faktu </w:t>
      </w:r>
      <w:r w:rsidR="00562057" w:rsidRPr="004A099B">
        <w:rPr>
          <w:rFonts w:ascii="Times New Roman" w:hAnsi="Times New Roman"/>
          <w:sz w:val="24"/>
          <w:szCs w:val="24"/>
        </w:rPr>
        <w:t>udostępnienia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099B">
        <w:rPr>
          <w:rFonts w:ascii="Times New Roman" w:hAnsi="Times New Roman"/>
          <w:sz w:val="24"/>
          <w:szCs w:val="24"/>
        </w:rPr>
        <w:t>zobowiązanemu</w:t>
      </w:r>
      <w:r w:rsidR="00562057" w:rsidRPr="004A099B">
        <w:rPr>
          <w:rFonts w:ascii="Times New Roman" w:hAnsi="Times New Roman"/>
          <w:sz w:val="24"/>
          <w:szCs w:val="24"/>
        </w:rPr>
        <w:t xml:space="preserve"> tytułu wykonawczego sporządzonego w</w:t>
      </w:r>
      <w:r>
        <w:rPr>
          <w:rFonts w:ascii="Times New Roman" w:hAnsi="Times New Roman"/>
          <w:sz w:val="24"/>
          <w:szCs w:val="24"/>
        </w:rPr>
        <w:t xml:space="preserve"> </w:t>
      </w:r>
      <w:r w:rsidR="00562057" w:rsidRPr="004A099B">
        <w:rPr>
          <w:rFonts w:ascii="Times New Roman" w:hAnsi="Times New Roman"/>
          <w:sz w:val="24"/>
          <w:szCs w:val="24"/>
        </w:rPr>
        <w:t>postaci elektronicznej.</w:t>
      </w:r>
    </w:p>
    <w:p w:rsidR="00562057" w:rsidRPr="004A099B" w:rsidRDefault="00562057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bCs/>
          <w:sz w:val="24"/>
          <w:szCs w:val="24"/>
        </w:rPr>
        <w:t>Uwaga wyjaśniona</w:t>
      </w:r>
    </w:p>
    <w:p w:rsidR="00BD58FD" w:rsidRPr="004A099B" w:rsidRDefault="00562057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 xml:space="preserve">Dokumentowanie czynności organu nie należy do zakresu projektowanej regulacji. Kwestie te regulują przepisy </w:t>
      </w:r>
      <w:r w:rsidR="00F92978" w:rsidRPr="004A099B">
        <w:rPr>
          <w:rFonts w:ascii="Times New Roman" w:hAnsi="Times New Roman"/>
          <w:sz w:val="24"/>
          <w:szCs w:val="24"/>
        </w:rPr>
        <w:t>Kpa</w:t>
      </w:r>
      <w:r w:rsidRPr="004A099B">
        <w:rPr>
          <w:rFonts w:ascii="Times New Roman" w:hAnsi="Times New Roman"/>
          <w:sz w:val="24"/>
          <w:szCs w:val="24"/>
        </w:rPr>
        <w:t>.</w:t>
      </w:r>
    </w:p>
    <w:p w:rsidR="00562057" w:rsidRPr="004A099B" w:rsidRDefault="00562057" w:rsidP="004A099B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>Elektronicznego doręczania zobowiązanemu tytułu wykonawczego sporządzonego w postaci elektronicznej.</w:t>
      </w:r>
    </w:p>
    <w:p w:rsidR="00562057" w:rsidRPr="004A099B" w:rsidRDefault="00562057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bCs/>
          <w:sz w:val="24"/>
          <w:szCs w:val="24"/>
        </w:rPr>
        <w:t>Uwaga wyjaśniona</w:t>
      </w:r>
    </w:p>
    <w:p w:rsidR="00562057" w:rsidRPr="004A099B" w:rsidRDefault="00562057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 xml:space="preserve">Doręczenie drogą elektroniczną uregulowane jest w przepisach </w:t>
      </w:r>
      <w:r w:rsidR="00F92978" w:rsidRPr="004A099B">
        <w:rPr>
          <w:rFonts w:ascii="Times New Roman" w:hAnsi="Times New Roman"/>
          <w:sz w:val="24"/>
          <w:szCs w:val="24"/>
        </w:rPr>
        <w:t>Kpa</w:t>
      </w:r>
      <w:r w:rsidRPr="004A099B">
        <w:rPr>
          <w:rFonts w:ascii="Times New Roman" w:hAnsi="Times New Roman"/>
          <w:sz w:val="24"/>
          <w:szCs w:val="24"/>
        </w:rPr>
        <w:t>.</w:t>
      </w:r>
    </w:p>
    <w:p w:rsidR="00562057" w:rsidRPr="004A099B" w:rsidRDefault="007A1967" w:rsidP="004A099B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>Wątpliwości czy udostępnienie zobowiązanemu treści tytułu wykonawczego na monitorze ekranowym może być traktowane jako doręczenie odpisu tytułu wykonawczego.</w:t>
      </w:r>
    </w:p>
    <w:p w:rsidR="007A1967" w:rsidRPr="004A099B" w:rsidRDefault="007A1967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bCs/>
          <w:sz w:val="24"/>
          <w:szCs w:val="24"/>
        </w:rPr>
        <w:t>Uwaga wyjaśniona</w:t>
      </w:r>
    </w:p>
    <w:p w:rsidR="007A1967" w:rsidRPr="004A099B" w:rsidRDefault="007A1967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>Dokumentowanie czynności organu nie należy do zakresu projektowanej regulacji. Doręczenie drogą elektroniczną uregulowane jest w przepisach Kpa.</w:t>
      </w:r>
    </w:p>
    <w:p w:rsidR="007A1967" w:rsidRPr="004A099B" w:rsidRDefault="007A1967" w:rsidP="004A099B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>Wielokrotnego udostępniania zobowiązanemu wydruków tytułu wykonawczego sporząd</w:t>
      </w:r>
      <w:r w:rsidR="009B2B6A">
        <w:rPr>
          <w:rFonts w:ascii="Times New Roman" w:hAnsi="Times New Roman"/>
          <w:sz w:val="24"/>
          <w:szCs w:val="24"/>
        </w:rPr>
        <w:t>zanego w postaci elektronicznej i wpływu tego udostępniania na skutki wniesienia zarzutów.</w:t>
      </w:r>
      <w:r w:rsidRPr="004A099B">
        <w:rPr>
          <w:rFonts w:ascii="Times New Roman" w:hAnsi="Times New Roman"/>
          <w:sz w:val="24"/>
          <w:szCs w:val="24"/>
        </w:rPr>
        <w:t xml:space="preserve"> </w:t>
      </w:r>
    </w:p>
    <w:p w:rsidR="007A1967" w:rsidRPr="004A099B" w:rsidRDefault="007A1967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bCs/>
          <w:sz w:val="24"/>
          <w:szCs w:val="24"/>
        </w:rPr>
        <w:t>Uwaga wyjaśniona</w:t>
      </w:r>
    </w:p>
    <w:p w:rsidR="007A1967" w:rsidRPr="004A099B" w:rsidRDefault="007A1967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>Nie ma przeszkód w zakresie sporządzania większej liczby wydruków tytułów wykonawczych, w razie</w:t>
      </w:r>
      <w:r w:rsidR="009B2B6A">
        <w:rPr>
          <w:rFonts w:ascii="Times New Roman" w:hAnsi="Times New Roman"/>
          <w:sz w:val="24"/>
          <w:szCs w:val="24"/>
        </w:rPr>
        <w:t xml:space="preserve"> konieczności</w:t>
      </w:r>
      <w:r w:rsidRPr="004A099B">
        <w:rPr>
          <w:rFonts w:ascii="Times New Roman" w:hAnsi="Times New Roman"/>
          <w:sz w:val="24"/>
          <w:szCs w:val="24"/>
        </w:rPr>
        <w:t xml:space="preserve"> przekazania np. organ</w:t>
      </w:r>
      <w:r w:rsidR="009B2B6A">
        <w:rPr>
          <w:rFonts w:ascii="Times New Roman" w:hAnsi="Times New Roman"/>
          <w:sz w:val="24"/>
          <w:szCs w:val="24"/>
        </w:rPr>
        <w:t xml:space="preserve">om nadzoru. Natomiast zgodnie z </w:t>
      </w:r>
      <w:r w:rsidRPr="004A099B">
        <w:rPr>
          <w:rFonts w:ascii="Times New Roman" w:hAnsi="Times New Roman"/>
          <w:sz w:val="24"/>
          <w:szCs w:val="24"/>
        </w:rPr>
        <w:t xml:space="preserve">przepisami </w:t>
      </w:r>
      <w:proofErr w:type="spellStart"/>
      <w:r w:rsidR="009B2B6A">
        <w:rPr>
          <w:rFonts w:ascii="Times New Roman" w:hAnsi="Times New Roman"/>
          <w:sz w:val="24"/>
          <w:szCs w:val="24"/>
        </w:rPr>
        <w:t>upea</w:t>
      </w:r>
      <w:proofErr w:type="spellEnd"/>
      <w:r w:rsidRPr="004A099B">
        <w:rPr>
          <w:rFonts w:ascii="Times New Roman" w:hAnsi="Times New Roman"/>
          <w:sz w:val="24"/>
          <w:szCs w:val="24"/>
        </w:rPr>
        <w:t xml:space="preserve"> skutki złożenia zarzutu w t</w:t>
      </w:r>
      <w:r w:rsidR="009B2B6A">
        <w:rPr>
          <w:rFonts w:ascii="Times New Roman" w:hAnsi="Times New Roman"/>
          <w:sz w:val="24"/>
          <w:szCs w:val="24"/>
        </w:rPr>
        <w:t>erminie 7 dni związane są z </w:t>
      </w:r>
      <w:r w:rsidRPr="004A099B">
        <w:rPr>
          <w:rFonts w:ascii="Times New Roman" w:hAnsi="Times New Roman"/>
          <w:sz w:val="24"/>
          <w:szCs w:val="24"/>
        </w:rPr>
        <w:t xml:space="preserve">doręczeniem odpisu tytułu wykonawczego bądź wydruku w przypadku tytułu w postaci </w:t>
      </w:r>
      <w:r w:rsidRPr="004A099B">
        <w:rPr>
          <w:rFonts w:ascii="Times New Roman" w:hAnsi="Times New Roman"/>
          <w:sz w:val="24"/>
          <w:szCs w:val="24"/>
        </w:rPr>
        <w:lastRenderedPageBreak/>
        <w:t xml:space="preserve">elektronicznej. W tym przypadku mamy do czynienia z jednorazową czynnością. Kolejne udostępnienia zobowiązanemu wydruku tytułu wykonawczego nie </w:t>
      </w:r>
      <w:r w:rsidR="009B2B6A">
        <w:rPr>
          <w:rFonts w:ascii="Times New Roman" w:hAnsi="Times New Roman"/>
          <w:sz w:val="24"/>
          <w:szCs w:val="24"/>
        </w:rPr>
        <w:t>mogą</w:t>
      </w:r>
      <w:r w:rsidRPr="004A099B">
        <w:rPr>
          <w:rFonts w:ascii="Times New Roman" w:hAnsi="Times New Roman"/>
          <w:sz w:val="24"/>
          <w:szCs w:val="24"/>
        </w:rPr>
        <w:t xml:space="preserve"> być traktowane jako doręczenie odpisu tytułu wykonawczego mające wpływ na skutki wniesienia zarzutu.   </w:t>
      </w:r>
    </w:p>
    <w:p w:rsidR="007A1967" w:rsidRPr="004A099B" w:rsidRDefault="007A1967" w:rsidP="004A099B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>Wątpliwości czy regulacje dotyczące posługiwania się tytułem wykonawczym w postaci elektronicznej ogranicza</w:t>
      </w:r>
      <w:r w:rsidR="008F4BE4">
        <w:rPr>
          <w:rFonts w:ascii="Times New Roman" w:hAnsi="Times New Roman"/>
          <w:sz w:val="24"/>
          <w:szCs w:val="24"/>
        </w:rPr>
        <w:t>ją</w:t>
      </w:r>
      <w:r w:rsidRPr="004A099B">
        <w:rPr>
          <w:rFonts w:ascii="Times New Roman" w:hAnsi="Times New Roman"/>
          <w:sz w:val="24"/>
          <w:szCs w:val="24"/>
        </w:rPr>
        <w:t xml:space="preserve"> posługiwanie się papierową formą tytułu wykonawczego. </w:t>
      </w:r>
    </w:p>
    <w:p w:rsidR="007A1967" w:rsidRPr="004A099B" w:rsidRDefault="007A1967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bCs/>
          <w:sz w:val="24"/>
          <w:szCs w:val="24"/>
        </w:rPr>
        <w:t>Uwaga wyjaśniona</w:t>
      </w:r>
    </w:p>
    <w:p w:rsidR="007A1967" w:rsidRPr="004A099B" w:rsidRDefault="007A1967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>Ustawa nowelizująca wprowadziła zasadę elektronicznego przekazywania tytułów wykonawczych do organu egzekucyjnego, nie wprowadziła żadnych ograniczeń w zakresie posługiwania się dokumentem papierowym wobec innych niż organ egzekucyjny podmiotów. Zgodnie ze wskazaną ustawą będzie istniała możliwość przekazania tytułów wykonawczego</w:t>
      </w:r>
      <w:r w:rsidR="008F4BE4">
        <w:rPr>
          <w:rFonts w:ascii="Times New Roman" w:hAnsi="Times New Roman"/>
          <w:sz w:val="24"/>
          <w:szCs w:val="24"/>
        </w:rPr>
        <w:t xml:space="preserve"> </w:t>
      </w:r>
      <w:r w:rsidR="008F4BE4" w:rsidRPr="004A099B">
        <w:rPr>
          <w:rFonts w:ascii="Times New Roman" w:hAnsi="Times New Roman"/>
          <w:sz w:val="24"/>
          <w:szCs w:val="24"/>
        </w:rPr>
        <w:t>w postaci papierowej</w:t>
      </w:r>
      <w:r w:rsidRPr="004A099B">
        <w:rPr>
          <w:rFonts w:ascii="Times New Roman" w:hAnsi="Times New Roman"/>
          <w:sz w:val="24"/>
          <w:szCs w:val="24"/>
        </w:rPr>
        <w:t xml:space="preserve"> również do organu egzekucyjnego w przypadku braku technicznych możliwości przekazania tytułu wykonawczego w postaci elektronicznej.</w:t>
      </w:r>
      <w:r w:rsidR="008F4BE4">
        <w:rPr>
          <w:rFonts w:ascii="Times New Roman" w:hAnsi="Times New Roman"/>
          <w:sz w:val="24"/>
          <w:szCs w:val="24"/>
        </w:rPr>
        <w:t xml:space="preserve"> </w:t>
      </w:r>
    </w:p>
    <w:p w:rsidR="007A1967" w:rsidRPr="004A099B" w:rsidRDefault="007A1967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F92978" w:rsidRPr="004A099B" w:rsidRDefault="00F92978" w:rsidP="004A099B">
      <w:pPr>
        <w:jc w:val="both"/>
        <w:rPr>
          <w:sz w:val="24"/>
          <w:szCs w:val="24"/>
        </w:rPr>
      </w:pPr>
      <w:r w:rsidRPr="004A099B">
        <w:rPr>
          <w:sz w:val="24"/>
          <w:szCs w:val="24"/>
        </w:rPr>
        <w:t>Urząd Miejski w Gdańsku zgłosił uwagi dotyczące:</w:t>
      </w:r>
    </w:p>
    <w:p w:rsidR="00734E8D" w:rsidRPr="004A099B" w:rsidRDefault="00F92978" w:rsidP="004A099B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 xml:space="preserve">Sposobu </w:t>
      </w:r>
      <w:r w:rsidR="00BB096F" w:rsidRPr="004A099B">
        <w:rPr>
          <w:rFonts w:ascii="Times New Roman" w:hAnsi="Times New Roman"/>
          <w:sz w:val="24"/>
          <w:szCs w:val="24"/>
        </w:rPr>
        <w:t>podpisania tytułu wykonawczego.</w:t>
      </w:r>
    </w:p>
    <w:p w:rsidR="00DC6540" w:rsidRPr="004A099B" w:rsidRDefault="00DC6540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bCs/>
          <w:sz w:val="24"/>
          <w:szCs w:val="24"/>
        </w:rPr>
        <w:t>Uwaga wyjaśniona</w:t>
      </w:r>
    </w:p>
    <w:p w:rsidR="00DC6540" w:rsidRPr="004A099B" w:rsidRDefault="00DC6540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>W przypadku dokumentów przekazywanych w postaci papierowej, dokumenty będą opatrywane podpisem w „tradycyjny” sposób, przez pracownika upoważnionego do działania w imieniu wierzyciela bądź organu egzekucyjnego.</w:t>
      </w:r>
      <w:r w:rsidR="009E16B8">
        <w:rPr>
          <w:rFonts w:ascii="Times New Roman" w:hAnsi="Times New Roman"/>
          <w:sz w:val="24"/>
          <w:szCs w:val="24"/>
        </w:rPr>
        <w:t xml:space="preserve"> </w:t>
      </w:r>
      <w:r w:rsidRPr="004A099B">
        <w:rPr>
          <w:rFonts w:ascii="Times New Roman" w:hAnsi="Times New Roman"/>
          <w:sz w:val="24"/>
          <w:szCs w:val="24"/>
        </w:rPr>
        <w:t>Kwestie podpisu tytułu wykonawczego i każdego innego pisma sporządzonego w postaci elektronicznej uregulowane są w art. 26e ustaw</w:t>
      </w:r>
      <w:r w:rsidR="009E16B8">
        <w:rPr>
          <w:rFonts w:ascii="Times New Roman" w:hAnsi="Times New Roman"/>
          <w:sz w:val="24"/>
          <w:szCs w:val="24"/>
        </w:rPr>
        <w:t xml:space="preserve">y o postępowaniu egzekucyjnym w </w:t>
      </w:r>
      <w:r w:rsidRPr="004A099B">
        <w:rPr>
          <w:rFonts w:ascii="Times New Roman" w:hAnsi="Times New Roman"/>
          <w:sz w:val="24"/>
          <w:szCs w:val="24"/>
        </w:rPr>
        <w:t>administracji. Przepis ten stanowi, że pisma w postaci elektronicznej są opatrywane kwalifikowanym podpisem elektronicznym, podpisem zaufanym, podpisem osobistym, zaawa</w:t>
      </w:r>
      <w:r w:rsidR="009E16B8">
        <w:rPr>
          <w:rFonts w:ascii="Times New Roman" w:hAnsi="Times New Roman"/>
          <w:sz w:val="24"/>
          <w:szCs w:val="24"/>
        </w:rPr>
        <w:t>nsowaną pieczęcią elektroniczną albo</w:t>
      </w:r>
      <w:r w:rsidRPr="004A099B">
        <w:rPr>
          <w:rFonts w:ascii="Times New Roman" w:hAnsi="Times New Roman"/>
          <w:sz w:val="24"/>
          <w:szCs w:val="24"/>
        </w:rPr>
        <w:t xml:space="preserve"> kwalifikowaną pieczęcią elektroniczną</w:t>
      </w:r>
      <w:r w:rsidR="009E16B8">
        <w:rPr>
          <w:rFonts w:ascii="Times New Roman" w:hAnsi="Times New Roman"/>
          <w:sz w:val="24"/>
          <w:szCs w:val="24"/>
        </w:rPr>
        <w:t>.</w:t>
      </w:r>
    </w:p>
    <w:p w:rsidR="00DC6540" w:rsidRPr="004A099B" w:rsidRDefault="00DC6540" w:rsidP="004A099B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 xml:space="preserve">Dostępu do systemu teleinformatycznego określonego w art. 26aa </w:t>
      </w:r>
      <w:proofErr w:type="spellStart"/>
      <w:r w:rsidRPr="004A099B">
        <w:rPr>
          <w:rFonts w:ascii="Times New Roman" w:hAnsi="Times New Roman"/>
          <w:sz w:val="24"/>
          <w:szCs w:val="24"/>
        </w:rPr>
        <w:t>upea</w:t>
      </w:r>
      <w:proofErr w:type="spellEnd"/>
      <w:r w:rsidRPr="004A099B">
        <w:rPr>
          <w:rFonts w:ascii="Times New Roman" w:hAnsi="Times New Roman"/>
          <w:sz w:val="24"/>
          <w:szCs w:val="24"/>
        </w:rPr>
        <w:t xml:space="preserve"> dla</w:t>
      </w:r>
      <w:r w:rsidR="009E16B8">
        <w:rPr>
          <w:rFonts w:ascii="Times New Roman" w:hAnsi="Times New Roman"/>
          <w:sz w:val="24"/>
          <w:szCs w:val="24"/>
        </w:rPr>
        <w:t xml:space="preserve"> wielu </w:t>
      </w:r>
      <w:r w:rsidRPr="004A099B">
        <w:rPr>
          <w:rFonts w:ascii="Times New Roman" w:hAnsi="Times New Roman"/>
          <w:sz w:val="24"/>
          <w:szCs w:val="24"/>
        </w:rPr>
        <w:t>pracowników</w:t>
      </w:r>
      <w:r w:rsidR="009E16B8">
        <w:rPr>
          <w:rFonts w:ascii="Times New Roman" w:hAnsi="Times New Roman"/>
          <w:sz w:val="24"/>
          <w:szCs w:val="24"/>
        </w:rPr>
        <w:t xml:space="preserve"> wierzyciela</w:t>
      </w:r>
      <w:r w:rsidRPr="004A099B">
        <w:rPr>
          <w:rFonts w:ascii="Times New Roman" w:hAnsi="Times New Roman"/>
          <w:sz w:val="24"/>
          <w:szCs w:val="24"/>
        </w:rPr>
        <w:t>.</w:t>
      </w:r>
    </w:p>
    <w:p w:rsidR="00DC6540" w:rsidRPr="004A099B" w:rsidRDefault="00DC6540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bCs/>
          <w:sz w:val="24"/>
          <w:szCs w:val="24"/>
        </w:rPr>
        <w:t>Uwaga wyjaśniona</w:t>
      </w:r>
    </w:p>
    <w:p w:rsidR="00DC6540" w:rsidRPr="004A099B" w:rsidRDefault="00DC6540" w:rsidP="004A099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>Dostęp do systemu nie będzie limitowany. Wniosek o przyznanie dostępu będzie składał wierzyciel (pracownik upoważniony do działania w jego imieniu), co nie oznacza, że taki wniosek będzie skutkował przyznaniem dostępu tylko temu jednemu pracownikowi uprawnionemu do działania w imieniu wierzyciela.</w:t>
      </w:r>
    </w:p>
    <w:p w:rsidR="00734E8D" w:rsidRDefault="00734E8D" w:rsidP="004A099B">
      <w:pPr>
        <w:jc w:val="both"/>
        <w:rPr>
          <w:sz w:val="24"/>
          <w:szCs w:val="24"/>
        </w:rPr>
      </w:pPr>
    </w:p>
    <w:p w:rsidR="00112BD3" w:rsidRPr="004A099B" w:rsidRDefault="00112BD3" w:rsidP="00112BD3">
      <w:pPr>
        <w:jc w:val="both"/>
        <w:rPr>
          <w:sz w:val="24"/>
          <w:szCs w:val="24"/>
        </w:rPr>
      </w:pPr>
      <w:r w:rsidRPr="004A099B">
        <w:rPr>
          <w:sz w:val="24"/>
          <w:szCs w:val="24"/>
        </w:rPr>
        <w:t xml:space="preserve">Urząd </w:t>
      </w:r>
      <w:r>
        <w:rPr>
          <w:sz w:val="24"/>
          <w:szCs w:val="24"/>
        </w:rPr>
        <w:t>Miasta Częstochowy</w:t>
      </w:r>
      <w:r w:rsidRPr="004A099B">
        <w:rPr>
          <w:sz w:val="24"/>
          <w:szCs w:val="24"/>
        </w:rPr>
        <w:t xml:space="preserve"> zgłosił uwagi dotyczące:</w:t>
      </w:r>
    </w:p>
    <w:p w:rsidR="00112BD3" w:rsidRDefault="00112BD3" w:rsidP="00112BD3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 xml:space="preserve">Sposobu archiwizowania </w:t>
      </w:r>
      <w:r>
        <w:rPr>
          <w:rFonts w:ascii="Times New Roman" w:hAnsi="Times New Roman"/>
          <w:sz w:val="24"/>
          <w:szCs w:val="24"/>
        </w:rPr>
        <w:t>dokumentacji</w:t>
      </w:r>
      <w:r w:rsidRPr="004A099B">
        <w:rPr>
          <w:rFonts w:ascii="Times New Roman" w:hAnsi="Times New Roman"/>
          <w:sz w:val="24"/>
          <w:szCs w:val="24"/>
        </w:rPr>
        <w:t xml:space="preserve"> w postaci elektronicznej.</w:t>
      </w:r>
    </w:p>
    <w:p w:rsidR="00112BD3" w:rsidRPr="00112BD3" w:rsidRDefault="00112BD3" w:rsidP="00112BD3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12BD3">
        <w:rPr>
          <w:rFonts w:ascii="Times New Roman" w:hAnsi="Times New Roman"/>
          <w:sz w:val="24"/>
          <w:szCs w:val="24"/>
        </w:rPr>
        <w:t>Uwaga wyjaśniona</w:t>
      </w:r>
    </w:p>
    <w:p w:rsidR="00112BD3" w:rsidRPr="00112BD3" w:rsidRDefault="00112BD3" w:rsidP="00112BD3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12BD3">
        <w:rPr>
          <w:rFonts w:ascii="Times New Roman" w:hAnsi="Times New Roman"/>
          <w:sz w:val="24"/>
          <w:szCs w:val="24"/>
        </w:rPr>
        <w:t xml:space="preserve">Kwestie dotyczące archiwizacji i przechowywania dokumentów elektronicznych nie leżą w zakresie regulacji projektowanego rozporządzenia, ani </w:t>
      </w:r>
      <w:proofErr w:type="spellStart"/>
      <w:r w:rsidRPr="00112BD3">
        <w:rPr>
          <w:rFonts w:ascii="Times New Roman" w:hAnsi="Times New Roman"/>
          <w:sz w:val="24"/>
          <w:szCs w:val="24"/>
        </w:rPr>
        <w:t>upea</w:t>
      </w:r>
      <w:proofErr w:type="spellEnd"/>
      <w:r w:rsidRPr="00112BD3">
        <w:rPr>
          <w:rFonts w:ascii="Times New Roman" w:hAnsi="Times New Roman"/>
          <w:sz w:val="24"/>
          <w:szCs w:val="24"/>
        </w:rPr>
        <w:t>. Wskazaną materię reguluje przede wszystkim ustawa o narodowym zasobie archiwalnym i</w:t>
      </w:r>
      <w:r w:rsidR="00F40779">
        <w:rPr>
          <w:rFonts w:ascii="Times New Roman" w:hAnsi="Times New Roman"/>
          <w:sz w:val="24"/>
          <w:szCs w:val="24"/>
        </w:rPr>
        <w:t xml:space="preserve"> </w:t>
      </w:r>
      <w:r w:rsidRPr="00112BD3">
        <w:rPr>
          <w:rFonts w:ascii="Times New Roman" w:hAnsi="Times New Roman"/>
          <w:sz w:val="24"/>
          <w:szCs w:val="24"/>
        </w:rPr>
        <w:t>archiwach.</w:t>
      </w:r>
    </w:p>
    <w:p w:rsidR="00112BD3" w:rsidRPr="00112BD3" w:rsidRDefault="00112BD3" w:rsidP="00112BD3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Wykreślenia przepisu § 4 ust. 1 pkt 1</w:t>
      </w:r>
      <w:r w:rsidR="006C503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dotyczącego s</w:t>
      </w:r>
      <w:r w:rsidRPr="004A099B">
        <w:rPr>
          <w:rFonts w:ascii="Times New Roman" w:hAnsi="Times New Roman"/>
          <w:sz w:val="24"/>
          <w:szCs w:val="24"/>
        </w:rPr>
        <w:t>posobu przekazywania tytułów wykonawczych i innych dokumentów organowi egzekucyjnemu niebędącemu naczelnikiem urzędu skarbowego na elektroniczną skrzynkę podawczą, w przypadku gdy wierzyciel jest jednocześnie organem egzekucyjnym.</w:t>
      </w:r>
    </w:p>
    <w:p w:rsidR="00112BD3" w:rsidRDefault="00112BD3" w:rsidP="00112BD3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4A099B">
        <w:rPr>
          <w:rFonts w:ascii="Times New Roman" w:hAnsi="Times New Roman"/>
          <w:bCs/>
          <w:sz w:val="24"/>
          <w:szCs w:val="24"/>
        </w:rPr>
        <w:t>Uwaga wyjaśniona</w:t>
      </w:r>
    </w:p>
    <w:p w:rsidR="00112BD3" w:rsidRDefault="00112BD3" w:rsidP="00112BD3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099B">
        <w:rPr>
          <w:rFonts w:ascii="Times New Roman" w:hAnsi="Times New Roman"/>
          <w:sz w:val="24"/>
          <w:szCs w:val="24"/>
        </w:rPr>
        <w:t>Zgodnie z Kpa oraz orzecznictwem sądów administracyjnych nie można mówić o dokonywaniu przez organ administracji publicznej czynności, w tym doręczeń, wobec samego siebie. Zatem projektowany przepis § 4 nie dotyczy przekazywania tytułów wykonawczych w przypadku gdy wierzyciel jest jednocześnie organem egzekucyjnym.</w:t>
      </w:r>
    </w:p>
    <w:p w:rsidR="00F40779" w:rsidRDefault="00F40779" w:rsidP="00F40779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Uzupełnienia § 6 projektowanego rozporządzenia o zapisy dotyczące nadawania klauzuli o skierowaniu tytułu wykonawczego do egzekucji administracyjnej przez wierzyciela.</w:t>
      </w:r>
    </w:p>
    <w:p w:rsidR="00F40779" w:rsidRDefault="00F40779" w:rsidP="00F40779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40779">
        <w:rPr>
          <w:rFonts w:ascii="Times New Roman" w:hAnsi="Times New Roman"/>
          <w:sz w:val="24"/>
          <w:szCs w:val="24"/>
        </w:rPr>
        <w:lastRenderedPageBreak/>
        <w:t xml:space="preserve">Uwaga nieuwzględniona </w:t>
      </w:r>
    </w:p>
    <w:p w:rsidR="00F40779" w:rsidRDefault="00F40779" w:rsidP="00F40779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40779">
        <w:rPr>
          <w:rFonts w:ascii="Times New Roman" w:hAnsi="Times New Roman"/>
          <w:sz w:val="24"/>
          <w:szCs w:val="24"/>
        </w:rPr>
        <w:t xml:space="preserve">Zgodnie z przepisem art. 27 § 1 pkt 10 </w:t>
      </w:r>
      <w:proofErr w:type="spellStart"/>
      <w:r>
        <w:rPr>
          <w:rFonts w:ascii="Times New Roman" w:hAnsi="Times New Roman"/>
          <w:sz w:val="24"/>
          <w:szCs w:val="24"/>
        </w:rPr>
        <w:t>upea</w:t>
      </w:r>
      <w:proofErr w:type="spellEnd"/>
      <w:r w:rsidRPr="00F40779">
        <w:rPr>
          <w:rFonts w:ascii="Times New Roman" w:hAnsi="Times New Roman"/>
          <w:sz w:val="24"/>
          <w:szCs w:val="24"/>
        </w:rPr>
        <w:t xml:space="preserve"> klauzula o skierowaniu tytułu wykonawczego do egzekucji administracyjnej jest nadawana przez organ egzekucyjny, nie przez wierzyciela. Z kolei art. 27 § 1 pkt 7 </w:t>
      </w:r>
      <w:proofErr w:type="spellStart"/>
      <w:r>
        <w:rPr>
          <w:rFonts w:ascii="Times New Roman" w:hAnsi="Times New Roman"/>
          <w:sz w:val="24"/>
          <w:szCs w:val="24"/>
        </w:rPr>
        <w:t>upea</w:t>
      </w:r>
      <w:proofErr w:type="spellEnd"/>
      <w:r w:rsidRPr="00F40779">
        <w:rPr>
          <w:rFonts w:ascii="Times New Roman" w:hAnsi="Times New Roman"/>
          <w:sz w:val="24"/>
          <w:szCs w:val="24"/>
        </w:rPr>
        <w:t xml:space="preserve"> przewiduje, że jednym z elementów tego tytułu jest podpis osoby upoważnionej do działania w imieniu wierzyciela.</w:t>
      </w:r>
      <w:r>
        <w:rPr>
          <w:rFonts w:ascii="Times New Roman" w:hAnsi="Times New Roman"/>
          <w:sz w:val="24"/>
          <w:szCs w:val="24"/>
        </w:rPr>
        <w:t xml:space="preserve"> N</w:t>
      </w:r>
      <w:r w:rsidRPr="00F40779">
        <w:rPr>
          <w:rFonts w:ascii="Times New Roman" w:hAnsi="Times New Roman"/>
          <w:sz w:val="24"/>
          <w:szCs w:val="24"/>
        </w:rPr>
        <w:t>atomiast</w:t>
      </w:r>
      <w:r>
        <w:rPr>
          <w:rFonts w:ascii="Times New Roman" w:hAnsi="Times New Roman"/>
          <w:sz w:val="24"/>
          <w:szCs w:val="24"/>
        </w:rPr>
        <w:t xml:space="preserve"> p</w:t>
      </w:r>
      <w:r w:rsidRPr="00F40779">
        <w:rPr>
          <w:rFonts w:ascii="Times New Roman" w:hAnsi="Times New Roman"/>
          <w:sz w:val="24"/>
          <w:szCs w:val="24"/>
        </w:rPr>
        <w:t xml:space="preserve">rzepis art. 27 § 1b </w:t>
      </w:r>
      <w:proofErr w:type="spellStart"/>
      <w:r w:rsidRPr="00F40779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pea</w:t>
      </w:r>
      <w:proofErr w:type="spellEnd"/>
      <w:r w:rsidRPr="00F40779">
        <w:rPr>
          <w:rFonts w:ascii="Times New Roman" w:hAnsi="Times New Roman"/>
          <w:sz w:val="24"/>
          <w:szCs w:val="24"/>
        </w:rPr>
        <w:t xml:space="preserve">, który przewiduje, że w przypadku, gdy wierzyciel jest jednocześnie organem egzekucyjnym nadanie tej klauzuli tytułowi egzekucyjnemu uznaje się za podpisanie tego tytułu przez osobę upoważnioną do działania w imieniu wierzyciela, </w:t>
      </w:r>
      <w:r>
        <w:rPr>
          <w:rFonts w:ascii="Times New Roman" w:hAnsi="Times New Roman"/>
          <w:sz w:val="24"/>
          <w:szCs w:val="24"/>
        </w:rPr>
        <w:t>oznacza jedynie,</w:t>
      </w:r>
      <w:r w:rsidRPr="00F40779">
        <w:rPr>
          <w:rFonts w:ascii="Times New Roman" w:hAnsi="Times New Roman"/>
          <w:sz w:val="24"/>
          <w:szCs w:val="24"/>
        </w:rPr>
        <w:t xml:space="preserve"> że nie będzie potrzeby w takim przypadku składania podpisu przez osobę upoważnioną do działania w imieniu wierzyciela.</w:t>
      </w:r>
    </w:p>
    <w:p w:rsidR="00F40779" w:rsidRDefault="00F40779" w:rsidP="00F40779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Wykreślenia projektowanego § 7.</w:t>
      </w:r>
    </w:p>
    <w:p w:rsidR="00F40779" w:rsidRPr="00F40779" w:rsidRDefault="00F40779" w:rsidP="00F40779">
      <w:pPr>
        <w:ind w:firstLine="426"/>
        <w:jc w:val="both"/>
        <w:rPr>
          <w:bCs/>
          <w:sz w:val="24"/>
          <w:szCs w:val="24"/>
        </w:rPr>
      </w:pPr>
      <w:r w:rsidRPr="00F40779">
        <w:rPr>
          <w:bCs/>
          <w:sz w:val="24"/>
          <w:szCs w:val="24"/>
        </w:rPr>
        <w:t xml:space="preserve">Uwaga </w:t>
      </w:r>
      <w:r w:rsidR="00BD544E">
        <w:rPr>
          <w:bCs/>
          <w:sz w:val="24"/>
          <w:szCs w:val="24"/>
        </w:rPr>
        <w:t>uwzględniona</w:t>
      </w:r>
    </w:p>
    <w:p w:rsidR="00112BD3" w:rsidRPr="002C4D9A" w:rsidRDefault="00BD544E" w:rsidP="002C4D9A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konsultacji z Ministrem Cyfryzacji projektowany § 7 został zmieniony</w:t>
      </w:r>
      <w:r w:rsidR="002C4D9A" w:rsidRPr="00BD544E">
        <w:rPr>
          <w:rFonts w:ascii="Times New Roman" w:hAnsi="Times New Roman"/>
          <w:sz w:val="24"/>
          <w:szCs w:val="24"/>
        </w:rPr>
        <w:t>.</w:t>
      </w:r>
    </w:p>
    <w:p w:rsidR="00112BD3" w:rsidRDefault="00112BD3" w:rsidP="00112BD3">
      <w:pPr>
        <w:jc w:val="both"/>
        <w:rPr>
          <w:sz w:val="24"/>
          <w:szCs w:val="24"/>
        </w:rPr>
      </w:pPr>
    </w:p>
    <w:p w:rsidR="00112BD3" w:rsidRDefault="009C4DAF" w:rsidP="009C4DAF">
      <w:pPr>
        <w:ind w:firstLine="426"/>
        <w:jc w:val="both"/>
        <w:rPr>
          <w:sz w:val="24"/>
          <w:szCs w:val="24"/>
        </w:rPr>
      </w:pPr>
      <w:r w:rsidRPr="009C4DAF">
        <w:rPr>
          <w:sz w:val="24"/>
          <w:szCs w:val="24"/>
        </w:rPr>
        <w:t>Żaden podmiot nie zgłosił zainteresowania pracami nad projektem rozporządzenia w</w:t>
      </w:r>
      <w:r>
        <w:rPr>
          <w:sz w:val="24"/>
          <w:szCs w:val="24"/>
        </w:rPr>
        <w:t xml:space="preserve"> </w:t>
      </w:r>
      <w:r w:rsidRPr="009C4DAF">
        <w:rPr>
          <w:sz w:val="24"/>
          <w:szCs w:val="24"/>
        </w:rPr>
        <w:t>trybie przepisów o działalności lobbingowej w procesie stanowienia prawa.</w:t>
      </w:r>
    </w:p>
    <w:p w:rsidR="009C4DAF" w:rsidRPr="004A099B" w:rsidRDefault="009C4DAF" w:rsidP="009C4DAF">
      <w:pPr>
        <w:ind w:firstLine="426"/>
        <w:jc w:val="both"/>
        <w:rPr>
          <w:sz w:val="24"/>
          <w:szCs w:val="24"/>
        </w:rPr>
      </w:pPr>
    </w:p>
    <w:p w:rsidR="00DA7A29" w:rsidRPr="004A099B" w:rsidRDefault="00DA7A29" w:rsidP="004A099B">
      <w:pPr>
        <w:ind w:firstLine="426"/>
        <w:jc w:val="both"/>
        <w:rPr>
          <w:sz w:val="24"/>
          <w:szCs w:val="24"/>
        </w:rPr>
      </w:pPr>
      <w:r w:rsidRPr="004A099B">
        <w:rPr>
          <w:sz w:val="24"/>
          <w:szCs w:val="24"/>
        </w:rPr>
        <w:t xml:space="preserve">Projekt rozporządzenia dotyczy funkcjonowania samorządu terytorialnego i został przedstawiony do rozpatrzenia Komisji Wspólnej Rządu i Samorządu Terytorialnego, która </w:t>
      </w:r>
      <w:r w:rsidR="00E42137" w:rsidRPr="004A099B">
        <w:rPr>
          <w:sz w:val="24"/>
          <w:szCs w:val="24"/>
        </w:rPr>
        <w:t xml:space="preserve">w dniu </w:t>
      </w:r>
      <w:r w:rsidR="004A418F">
        <w:rPr>
          <w:sz w:val="24"/>
          <w:szCs w:val="24"/>
        </w:rPr>
        <w:t>27 marca</w:t>
      </w:r>
      <w:r w:rsidR="009F0A34" w:rsidRPr="004A099B">
        <w:rPr>
          <w:sz w:val="24"/>
          <w:szCs w:val="24"/>
        </w:rPr>
        <w:t xml:space="preserve"> </w:t>
      </w:r>
      <w:r w:rsidR="00EA3559" w:rsidRPr="004A099B">
        <w:rPr>
          <w:sz w:val="24"/>
          <w:szCs w:val="24"/>
        </w:rPr>
        <w:t>2020</w:t>
      </w:r>
      <w:r w:rsidR="00CC30A5" w:rsidRPr="004A099B">
        <w:rPr>
          <w:sz w:val="24"/>
          <w:szCs w:val="24"/>
        </w:rPr>
        <w:t xml:space="preserve"> </w:t>
      </w:r>
      <w:r w:rsidR="00806710" w:rsidRPr="004A099B">
        <w:rPr>
          <w:sz w:val="24"/>
          <w:szCs w:val="24"/>
        </w:rPr>
        <w:t xml:space="preserve">r. </w:t>
      </w:r>
      <w:r w:rsidR="004A418F">
        <w:rPr>
          <w:sz w:val="24"/>
          <w:szCs w:val="24"/>
        </w:rPr>
        <w:t>wyraziła pozytywną opinię względem projektu</w:t>
      </w:r>
      <w:r w:rsidRPr="004A099B">
        <w:rPr>
          <w:sz w:val="24"/>
          <w:szCs w:val="24"/>
        </w:rPr>
        <w:t xml:space="preserve">. </w:t>
      </w:r>
    </w:p>
    <w:p w:rsidR="00F963E2" w:rsidRPr="004A099B" w:rsidRDefault="00F963E2" w:rsidP="004A099B">
      <w:pPr>
        <w:ind w:firstLine="426"/>
        <w:jc w:val="both"/>
        <w:rPr>
          <w:sz w:val="24"/>
          <w:szCs w:val="24"/>
        </w:rPr>
      </w:pPr>
    </w:p>
    <w:p w:rsidR="009D49E1" w:rsidRPr="004A099B" w:rsidRDefault="005F55FA" w:rsidP="004A099B">
      <w:pPr>
        <w:ind w:firstLine="426"/>
        <w:jc w:val="both"/>
        <w:rPr>
          <w:sz w:val="24"/>
          <w:szCs w:val="24"/>
        </w:rPr>
      </w:pPr>
      <w:r w:rsidRPr="004A099B">
        <w:rPr>
          <w:sz w:val="24"/>
          <w:szCs w:val="24"/>
        </w:rPr>
        <w:t xml:space="preserve">Projekt rozporządzenia nie wymagał zasięgnięcia opinii i uzgodnienia z właściwymi organami i instytucjami Unii Europejskiej, w tym Europejskim Bankiem Centralnym. </w:t>
      </w:r>
    </w:p>
    <w:p w:rsidR="002A37DF" w:rsidRPr="004A099B" w:rsidRDefault="002A37DF" w:rsidP="004A099B">
      <w:pPr>
        <w:ind w:firstLine="426"/>
        <w:jc w:val="both"/>
        <w:rPr>
          <w:sz w:val="24"/>
          <w:szCs w:val="24"/>
        </w:rPr>
      </w:pPr>
    </w:p>
    <w:sectPr w:rsidR="002A37DF" w:rsidRPr="004A09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oklyn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5083C"/>
    <w:multiLevelType w:val="hybridMultilevel"/>
    <w:tmpl w:val="32A693F6"/>
    <w:lvl w:ilvl="0" w:tplc="6AB2940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9B0AB6"/>
    <w:multiLevelType w:val="hybridMultilevel"/>
    <w:tmpl w:val="232CB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629C6"/>
    <w:multiLevelType w:val="hybridMultilevel"/>
    <w:tmpl w:val="08888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23C4E"/>
    <w:multiLevelType w:val="hybridMultilevel"/>
    <w:tmpl w:val="BF42D3F0"/>
    <w:lvl w:ilvl="0" w:tplc="A13621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F07D71"/>
    <w:multiLevelType w:val="hybridMultilevel"/>
    <w:tmpl w:val="CB680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A2FA4"/>
    <w:multiLevelType w:val="hybridMultilevel"/>
    <w:tmpl w:val="D88CF22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64547"/>
    <w:multiLevelType w:val="hybridMultilevel"/>
    <w:tmpl w:val="B5620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632A6"/>
    <w:multiLevelType w:val="hybridMultilevel"/>
    <w:tmpl w:val="B3E60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956F0"/>
    <w:multiLevelType w:val="hybridMultilevel"/>
    <w:tmpl w:val="85B61322"/>
    <w:lvl w:ilvl="0" w:tplc="CF3012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9B5C79"/>
    <w:multiLevelType w:val="hybridMultilevel"/>
    <w:tmpl w:val="2EE67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37BFE"/>
    <w:multiLevelType w:val="hybridMultilevel"/>
    <w:tmpl w:val="760E7E78"/>
    <w:lvl w:ilvl="0" w:tplc="7E169C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25E6BA6"/>
    <w:multiLevelType w:val="hybridMultilevel"/>
    <w:tmpl w:val="D9AEA42E"/>
    <w:lvl w:ilvl="0" w:tplc="097EA5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E8D7917"/>
    <w:multiLevelType w:val="hybridMultilevel"/>
    <w:tmpl w:val="E67EE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61915"/>
    <w:multiLevelType w:val="hybridMultilevel"/>
    <w:tmpl w:val="5C78CB98"/>
    <w:lvl w:ilvl="0" w:tplc="8F9013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B977790"/>
    <w:multiLevelType w:val="hybridMultilevel"/>
    <w:tmpl w:val="86E47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80D91"/>
    <w:multiLevelType w:val="hybridMultilevel"/>
    <w:tmpl w:val="E48699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8F3770"/>
    <w:multiLevelType w:val="hybridMultilevel"/>
    <w:tmpl w:val="80909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49230D"/>
    <w:multiLevelType w:val="hybridMultilevel"/>
    <w:tmpl w:val="A3A0C9D8"/>
    <w:lvl w:ilvl="0" w:tplc="D60E73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68349AE"/>
    <w:multiLevelType w:val="hybridMultilevel"/>
    <w:tmpl w:val="5934A72A"/>
    <w:lvl w:ilvl="0" w:tplc="7E1ED5B2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18"/>
  </w:num>
  <w:num w:numId="9">
    <w:abstractNumId w:val="0"/>
  </w:num>
  <w:num w:numId="10">
    <w:abstractNumId w:val="16"/>
  </w:num>
  <w:num w:numId="11">
    <w:abstractNumId w:val="2"/>
  </w:num>
  <w:num w:numId="12">
    <w:abstractNumId w:val="7"/>
  </w:num>
  <w:num w:numId="13">
    <w:abstractNumId w:val="8"/>
  </w:num>
  <w:num w:numId="14">
    <w:abstractNumId w:val="14"/>
  </w:num>
  <w:num w:numId="15">
    <w:abstractNumId w:val="13"/>
  </w:num>
  <w:num w:numId="16">
    <w:abstractNumId w:val="4"/>
  </w:num>
  <w:num w:numId="17">
    <w:abstractNumId w:val="11"/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ADF"/>
    <w:rsid w:val="000023DB"/>
    <w:rsid w:val="00005A38"/>
    <w:rsid w:val="0001134C"/>
    <w:rsid w:val="00032142"/>
    <w:rsid w:val="0003224E"/>
    <w:rsid w:val="00035910"/>
    <w:rsid w:val="00041688"/>
    <w:rsid w:val="000447E2"/>
    <w:rsid w:val="00083465"/>
    <w:rsid w:val="000838D8"/>
    <w:rsid w:val="00086271"/>
    <w:rsid w:val="00094C9A"/>
    <w:rsid w:val="000970DA"/>
    <w:rsid w:val="000C64E0"/>
    <w:rsid w:val="000D4975"/>
    <w:rsid w:val="000E4BFF"/>
    <w:rsid w:val="000E5A33"/>
    <w:rsid w:val="000E7B11"/>
    <w:rsid w:val="001023C0"/>
    <w:rsid w:val="00112BD3"/>
    <w:rsid w:val="00125300"/>
    <w:rsid w:val="001456DD"/>
    <w:rsid w:val="00146C2F"/>
    <w:rsid w:val="001547D7"/>
    <w:rsid w:val="00180595"/>
    <w:rsid w:val="00181D26"/>
    <w:rsid w:val="00187668"/>
    <w:rsid w:val="0018798A"/>
    <w:rsid w:val="001A0C3F"/>
    <w:rsid w:val="001B6369"/>
    <w:rsid w:val="001B7F5C"/>
    <w:rsid w:val="001C7F20"/>
    <w:rsid w:val="001D1FDD"/>
    <w:rsid w:val="00207A7A"/>
    <w:rsid w:val="00213690"/>
    <w:rsid w:val="00213CF1"/>
    <w:rsid w:val="00214D2E"/>
    <w:rsid w:val="00215303"/>
    <w:rsid w:val="00221602"/>
    <w:rsid w:val="00232130"/>
    <w:rsid w:val="0023356C"/>
    <w:rsid w:val="00247A9B"/>
    <w:rsid w:val="002578AF"/>
    <w:rsid w:val="00277043"/>
    <w:rsid w:val="0029004C"/>
    <w:rsid w:val="00290494"/>
    <w:rsid w:val="002A37DF"/>
    <w:rsid w:val="002B3EDB"/>
    <w:rsid w:val="002B5C4B"/>
    <w:rsid w:val="002C464D"/>
    <w:rsid w:val="002C4D9A"/>
    <w:rsid w:val="002C6E74"/>
    <w:rsid w:val="002E54FF"/>
    <w:rsid w:val="002E6E11"/>
    <w:rsid w:val="00306328"/>
    <w:rsid w:val="00307C5B"/>
    <w:rsid w:val="00307F92"/>
    <w:rsid w:val="00337D2D"/>
    <w:rsid w:val="00350741"/>
    <w:rsid w:val="003562B2"/>
    <w:rsid w:val="00360FE2"/>
    <w:rsid w:val="00364116"/>
    <w:rsid w:val="00364C0A"/>
    <w:rsid w:val="00366008"/>
    <w:rsid w:val="0037272E"/>
    <w:rsid w:val="00372A4E"/>
    <w:rsid w:val="003763EE"/>
    <w:rsid w:val="00387792"/>
    <w:rsid w:val="00396633"/>
    <w:rsid w:val="003A3FC6"/>
    <w:rsid w:val="003C7FFA"/>
    <w:rsid w:val="003D1CB9"/>
    <w:rsid w:val="003E2E2B"/>
    <w:rsid w:val="003F2000"/>
    <w:rsid w:val="0041089F"/>
    <w:rsid w:val="004119E4"/>
    <w:rsid w:val="00411BFA"/>
    <w:rsid w:val="00415A17"/>
    <w:rsid w:val="00424759"/>
    <w:rsid w:val="00436A94"/>
    <w:rsid w:val="0044259A"/>
    <w:rsid w:val="00444C50"/>
    <w:rsid w:val="0045630F"/>
    <w:rsid w:val="00465699"/>
    <w:rsid w:val="00472D0F"/>
    <w:rsid w:val="004854D4"/>
    <w:rsid w:val="00486907"/>
    <w:rsid w:val="004A059E"/>
    <w:rsid w:val="004A099B"/>
    <w:rsid w:val="004A418F"/>
    <w:rsid w:val="004B6BD6"/>
    <w:rsid w:val="004D03B1"/>
    <w:rsid w:val="004D13B5"/>
    <w:rsid w:val="004F1717"/>
    <w:rsid w:val="00505232"/>
    <w:rsid w:val="00523A66"/>
    <w:rsid w:val="00531EDE"/>
    <w:rsid w:val="00545CD5"/>
    <w:rsid w:val="00546371"/>
    <w:rsid w:val="0054775A"/>
    <w:rsid w:val="00562057"/>
    <w:rsid w:val="00562852"/>
    <w:rsid w:val="005756B5"/>
    <w:rsid w:val="00585A36"/>
    <w:rsid w:val="00591777"/>
    <w:rsid w:val="005957C6"/>
    <w:rsid w:val="005973B0"/>
    <w:rsid w:val="005A1A34"/>
    <w:rsid w:val="005B45C4"/>
    <w:rsid w:val="005C3D50"/>
    <w:rsid w:val="005D2B1D"/>
    <w:rsid w:val="005E5D03"/>
    <w:rsid w:val="005E65A7"/>
    <w:rsid w:val="005E7857"/>
    <w:rsid w:val="005E7862"/>
    <w:rsid w:val="005F55FA"/>
    <w:rsid w:val="00604ED0"/>
    <w:rsid w:val="0061071A"/>
    <w:rsid w:val="00613DBA"/>
    <w:rsid w:val="006158B3"/>
    <w:rsid w:val="006200DC"/>
    <w:rsid w:val="00622613"/>
    <w:rsid w:val="00625F5C"/>
    <w:rsid w:val="00634DF8"/>
    <w:rsid w:val="00640391"/>
    <w:rsid w:val="00647F67"/>
    <w:rsid w:val="00654737"/>
    <w:rsid w:val="00662798"/>
    <w:rsid w:val="0067606B"/>
    <w:rsid w:val="006855F6"/>
    <w:rsid w:val="006915BF"/>
    <w:rsid w:val="00692AE5"/>
    <w:rsid w:val="006A1210"/>
    <w:rsid w:val="006A1618"/>
    <w:rsid w:val="006A6E32"/>
    <w:rsid w:val="006C5030"/>
    <w:rsid w:val="006C523B"/>
    <w:rsid w:val="006D0B84"/>
    <w:rsid w:val="006D27E3"/>
    <w:rsid w:val="006E6B16"/>
    <w:rsid w:val="006F10BB"/>
    <w:rsid w:val="006F1811"/>
    <w:rsid w:val="006F55F6"/>
    <w:rsid w:val="00705C32"/>
    <w:rsid w:val="00712C29"/>
    <w:rsid w:val="00721CF6"/>
    <w:rsid w:val="00725576"/>
    <w:rsid w:val="00734E8D"/>
    <w:rsid w:val="007428C3"/>
    <w:rsid w:val="00744B7A"/>
    <w:rsid w:val="00752F3B"/>
    <w:rsid w:val="00762AA5"/>
    <w:rsid w:val="00770D6A"/>
    <w:rsid w:val="00794F20"/>
    <w:rsid w:val="007A1967"/>
    <w:rsid w:val="007A1ED3"/>
    <w:rsid w:val="007C00DE"/>
    <w:rsid w:val="007C219B"/>
    <w:rsid w:val="007C676B"/>
    <w:rsid w:val="007D27C4"/>
    <w:rsid w:val="007D7CA1"/>
    <w:rsid w:val="007E513E"/>
    <w:rsid w:val="007E5986"/>
    <w:rsid w:val="007F771A"/>
    <w:rsid w:val="00806710"/>
    <w:rsid w:val="00810A2F"/>
    <w:rsid w:val="0081434C"/>
    <w:rsid w:val="0082183B"/>
    <w:rsid w:val="00824EE5"/>
    <w:rsid w:val="00826F36"/>
    <w:rsid w:val="00841D3C"/>
    <w:rsid w:val="00857A18"/>
    <w:rsid w:val="00857A98"/>
    <w:rsid w:val="00857E21"/>
    <w:rsid w:val="00866FBE"/>
    <w:rsid w:val="008809D9"/>
    <w:rsid w:val="00892910"/>
    <w:rsid w:val="008A1202"/>
    <w:rsid w:val="008A214F"/>
    <w:rsid w:val="008A34E5"/>
    <w:rsid w:val="008A70E6"/>
    <w:rsid w:val="008C6012"/>
    <w:rsid w:val="008E4D84"/>
    <w:rsid w:val="008F4BE4"/>
    <w:rsid w:val="00902BA6"/>
    <w:rsid w:val="00903556"/>
    <w:rsid w:val="009155DE"/>
    <w:rsid w:val="009213E4"/>
    <w:rsid w:val="00943D12"/>
    <w:rsid w:val="00990F1B"/>
    <w:rsid w:val="00997A94"/>
    <w:rsid w:val="009B2B6A"/>
    <w:rsid w:val="009B7863"/>
    <w:rsid w:val="009C27F8"/>
    <w:rsid w:val="009C4DAF"/>
    <w:rsid w:val="009D375A"/>
    <w:rsid w:val="009D49E1"/>
    <w:rsid w:val="009D7DF6"/>
    <w:rsid w:val="009E16B8"/>
    <w:rsid w:val="009E2B74"/>
    <w:rsid w:val="009F0A34"/>
    <w:rsid w:val="009F5A7E"/>
    <w:rsid w:val="00A0110D"/>
    <w:rsid w:val="00A028A5"/>
    <w:rsid w:val="00A12F01"/>
    <w:rsid w:val="00A16B53"/>
    <w:rsid w:val="00A42290"/>
    <w:rsid w:val="00A44DF1"/>
    <w:rsid w:val="00A66F62"/>
    <w:rsid w:val="00A67C02"/>
    <w:rsid w:val="00A700A3"/>
    <w:rsid w:val="00A77F39"/>
    <w:rsid w:val="00A809DE"/>
    <w:rsid w:val="00A94ACA"/>
    <w:rsid w:val="00A96139"/>
    <w:rsid w:val="00AC32C6"/>
    <w:rsid w:val="00AC680D"/>
    <w:rsid w:val="00AD21B2"/>
    <w:rsid w:val="00AE064F"/>
    <w:rsid w:val="00AE1DA7"/>
    <w:rsid w:val="00AF3368"/>
    <w:rsid w:val="00AF4B59"/>
    <w:rsid w:val="00B00D20"/>
    <w:rsid w:val="00B044F2"/>
    <w:rsid w:val="00B35ABE"/>
    <w:rsid w:val="00B42F76"/>
    <w:rsid w:val="00B53ED8"/>
    <w:rsid w:val="00B565D8"/>
    <w:rsid w:val="00B85BDF"/>
    <w:rsid w:val="00B916F6"/>
    <w:rsid w:val="00B94B87"/>
    <w:rsid w:val="00BA7F84"/>
    <w:rsid w:val="00BB096F"/>
    <w:rsid w:val="00BC2803"/>
    <w:rsid w:val="00BC3015"/>
    <w:rsid w:val="00BD544E"/>
    <w:rsid w:val="00BD58FD"/>
    <w:rsid w:val="00C32D25"/>
    <w:rsid w:val="00C46E3A"/>
    <w:rsid w:val="00C55E3F"/>
    <w:rsid w:val="00C63E6A"/>
    <w:rsid w:val="00C65195"/>
    <w:rsid w:val="00C67E7C"/>
    <w:rsid w:val="00C75F78"/>
    <w:rsid w:val="00C76FEB"/>
    <w:rsid w:val="00C8640F"/>
    <w:rsid w:val="00C91A14"/>
    <w:rsid w:val="00CA1364"/>
    <w:rsid w:val="00CA7CC3"/>
    <w:rsid w:val="00CB5A8A"/>
    <w:rsid w:val="00CC30A5"/>
    <w:rsid w:val="00CC5822"/>
    <w:rsid w:val="00CD3E09"/>
    <w:rsid w:val="00CD6D23"/>
    <w:rsid w:val="00CE499E"/>
    <w:rsid w:val="00CF7076"/>
    <w:rsid w:val="00D17158"/>
    <w:rsid w:val="00D31A47"/>
    <w:rsid w:val="00D57978"/>
    <w:rsid w:val="00D60E21"/>
    <w:rsid w:val="00D93ED2"/>
    <w:rsid w:val="00DA02DA"/>
    <w:rsid w:val="00DA172E"/>
    <w:rsid w:val="00DA2C66"/>
    <w:rsid w:val="00DA7A29"/>
    <w:rsid w:val="00DB2E1A"/>
    <w:rsid w:val="00DC5D1B"/>
    <w:rsid w:val="00DC6540"/>
    <w:rsid w:val="00DD3050"/>
    <w:rsid w:val="00DE03F0"/>
    <w:rsid w:val="00DE07A0"/>
    <w:rsid w:val="00DE4A48"/>
    <w:rsid w:val="00DE4C22"/>
    <w:rsid w:val="00DF787F"/>
    <w:rsid w:val="00E02E79"/>
    <w:rsid w:val="00E07434"/>
    <w:rsid w:val="00E10B21"/>
    <w:rsid w:val="00E11600"/>
    <w:rsid w:val="00E31876"/>
    <w:rsid w:val="00E33ADF"/>
    <w:rsid w:val="00E34CCD"/>
    <w:rsid w:val="00E42137"/>
    <w:rsid w:val="00E50CCA"/>
    <w:rsid w:val="00E56746"/>
    <w:rsid w:val="00E64AD7"/>
    <w:rsid w:val="00E80900"/>
    <w:rsid w:val="00E83912"/>
    <w:rsid w:val="00E86110"/>
    <w:rsid w:val="00E932F0"/>
    <w:rsid w:val="00EA3559"/>
    <w:rsid w:val="00EB4870"/>
    <w:rsid w:val="00EB67B7"/>
    <w:rsid w:val="00EB6ADB"/>
    <w:rsid w:val="00ED2284"/>
    <w:rsid w:val="00EE4AB1"/>
    <w:rsid w:val="00EF45DD"/>
    <w:rsid w:val="00F0373C"/>
    <w:rsid w:val="00F06C01"/>
    <w:rsid w:val="00F0763C"/>
    <w:rsid w:val="00F31688"/>
    <w:rsid w:val="00F32A21"/>
    <w:rsid w:val="00F346D1"/>
    <w:rsid w:val="00F40779"/>
    <w:rsid w:val="00F42853"/>
    <w:rsid w:val="00F57C95"/>
    <w:rsid w:val="00F57F9C"/>
    <w:rsid w:val="00F8290F"/>
    <w:rsid w:val="00F8527F"/>
    <w:rsid w:val="00F902F2"/>
    <w:rsid w:val="00F92978"/>
    <w:rsid w:val="00F9548B"/>
    <w:rsid w:val="00F963E2"/>
    <w:rsid w:val="00F96486"/>
    <w:rsid w:val="00FB1A01"/>
    <w:rsid w:val="00FB29F8"/>
    <w:rsid w:val="00FB5061"/>
    <w:rsid w:val="00FB7A25"/>
    <w:rsid w:val="00FC54F6"/>
    <w:rsid w:val="00FC7726"/>
    <w:rsid w:val="00FC7C3A"/>
    <w:rsid w:val="00FD7EB8"/>
    <w:rsid w:val="00FE1A5D"/>
    <w:rsid w:val="00FE3571"/>
    <w:rsid w:val="00FE5AB7"/>
    <w:rsid w:val="00FF159A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6ED20E-E6B0-4A69-8DEA-572699A7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C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46C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0">
    <w:name w:val="Style 0"/>
    <w:basedOn w:val="Normalny"/>
    <w:rsid w:val="00146C2F"/>
    <w:pPr>
      <w:spacing w:line="360" w:lineRule="auto"/>
      <w:jc w:val="both"/>
    </w:pPr>
    <w:rPr>
      <w:rFonts w:ascii="Brooklyn" w:hAnsi="Brooklyn"/>
      <w:sz w:val="24"/>
    </w:rPr>
  </w:style>
  <w:style w:type="character" w:customStyle="1" w:styleId="AkapitzlistZnak">
    <w:name w:val="Akapit z listą Znak"/>
    <w:link w:val="Akapitzlist"/>
    <w:uiPriority w:val="34"/>
    <w:rsid w:val="00146C2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32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2C6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rsid w:val="00005A3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2516</Words>
  <Characters>15102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Zawadzka Milena</dc:creator>
  <cp:keywords/>
  <dc:description/>
  <cp:lastModifiedBy>Marczak-Redecka Joanna</cp:lastModifiedBy>
  <cp:revision>2</cp:revision>
  <cp:lastPrinted>2018-04-16T09:57:00Z</cp:lastPrinted>
  <dcterms:created xsi:type="dcterms:W3CDTF">2020-06-25T12:23:00Z</dcterms:created>
  <dcterms:modified xsi:type="dcterms:W3CDTF">2020-06-25T12:23:00Z</dcterms:modified>
</cp:coreProperties>
</file>